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27.08.2015 N 536</w:t>
              <w:br/>
              <w:t xml:space="preserve">(ред. от 25.10.2023)</w:t>
              <w:br/>
              <w:t xml:space="preserve">"Об утверждении Положения об оплате труда работников государственных учреждений Самарской области, подведомственных министерству здравоохранения Самарской области"</w:t>
              <w:br/>
              <w:t xml:space="preserve">(с изм. и доп., вступившими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августа 2015 г. N 536</w:t>
      </w:r>
    </w:p>
    <w:p>
      <w:pPr>
        <w:pStyle w:val="2"/>
        <w:jc w:val="center"/>
      </w:pPr>
      <w:r>
        <w:rPr>
          <w:sz w:val="20"/>
        </w:rPr>
      </w:r>
    </w:p>
    <w:p>
      <w:pPr>
        <w:pStyle w:val="2"/>
        <w:jc w:val="center"/>
      </w:pPr>
      <w:r>
        <w:rPr>
          <w:sz w:val="20"/>
        </w:rPr>
        <w:t xml:space="preserve">ОБ УТВЕРЖДЕНИИ ПОЛОЖЕНИЯ ОБ ОПЛАТЕ ТРУДА РАБОТНИКОВ</w:t>
      </w:r>
    </w:p>
    <w:p>
      <w:pPr>
        <w:pStyle w:val="2"/>
        <w:jc w:val="center"/>
      </w:pPr>
      <w:r>
        <w:rPr>
          <w:sz w:val="20"/>
        </w:rPr>
        <w:t xml:space="preserve">ГОСУДАРСТВЕННЫХ УЧРЕЖДЕНИЙ САМАРСКОЙ ОБЛАСТИ,</w:t>
      </w:r>
    </w:p>
    <w:p>
      <w:pPr>
        <w:pStyle w:val="2"/>
        <w:jc w:val="center"/>
      </w:pPr>
      <w:r>
        <w:rPr>
          <w:sz w:val="20"/>
        </w:rPr>
        <w:t xml:space="preserve">ПОДВЕДОМСТВЕННЫХ МИНИСТЕРСТВУ ЗДРАВООХРАНЕНИЯ</w:t>
      </w:r>
    </w:p>
    <w:p>
      <w:pPr>
        <w:pStyle w:val="2"/>
        <w:jc w:val="center"/>
      </w:pPr>
      <w:r>
        <w:rPr>
          <w:sz w:val="20"/>
        </w:rPr>
        <w:t xml:space="preserve">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28.12.2015 </w:t>
            </w:r>
            <w:hyperlink w:history="0" r:id="rId7"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N 891</w:t>
              </w:r>
            </w:hyperlink>
            <w:r>
              <w:rPr>
                <w:sz w:val="20"/>
                <w:color w:val="392c69"/>
              </w:rPr>
              <w:t xml:space="preserve">,</w:t>
            </w:r>
          </w:p>
          <w:p>
            <w:pPr>
              <w:pStyle w:val="0"/>
              <w:jc w:val="center"/>
            </w:pPr>
            <w:r>
              <w:rPr>
                <w:sz w:val="20"/>
                <w:color w:val="392c69"/>
              </w:rPr>
              <w:t xml:space="preserve">от 22.08.2016 </w:t>
            </w:r>
            <w:hyperlink w:history="0" r:id="rId8" w:tooltip="Постановление Правительства Самарской области от 22.08.2016 N 472 (ред. от 22.05.2019) &quot;О внесении изменений в отдельные постановления Правительства Самарской области&quot; {КонсультантПлюс}">
              <w:r>
                <w:rPr>
                  <w:sz w:val="20"/>
                  <w:color w:val="0000ff"/>
                </w:rPr>
                <w:t xml:space="preserve">N 472</w:t>
              </w:r>
            </w:hyperlink>
            <w:r>
              <w:rPr>
                <w:sz w:val="20"/>
                <w:color w:val="392c69"/>
              </w:rPr>
              <w:t xml:space="preserve">, от 13.02.2017 </w:t>
            </w:r>
            <w:hyperlink w:history="0" r:id="rId9"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N 91</w:t>
              </w:r>
            </w:hyperlink>
            <w:r>
              <w:rPr>
                <w:sz w:val="20"/>
                <w:color w:val="392c69"/>
              </w:rPr>
              <w:t xml:space="preserve">, от 23.06.2017 </w:t>
            </w:r>
            <w:hyperlink w:history="0" r:id="rId10" w:tooltip="Постановление Правительства Самарской области от 23.06.2017 N 399 (ред. от 22.05.2019) &quot;О внесении изменений в отдельные постановления Правительства Самарской области&quot; {КонсультантПлюс}">
              <w:r>
                <w:rPr>
                  <w:sz w:val="20"/>
                  <w:color w:val="0000ff"/>
                </w:rPr>
                <w:t xml:space="preserve">N 399</w:t>
              </w:r>
            </w:hyperlink>
            <w:r>
              <w:rPr>
                <w:sz w:val="20"/>
                <w:color w:val="392c69"/>
              </w:rPr>
              <w:t xml:space="preserve">,</w:t>
            </w:r>
          </w:p>
          <w:p>
            <w:pPr>
              <w:pStyle w:val="0"/>
              <w:jc w:val="center"/>
            </w:pPr>
            <w:r>
              <w:rPr>
                <w:sz w:val="20"/>
                <w:color w:val="392c69"/>
              </w:rPr>
              <w:t xml:space="preserve">от 27.06.2017 </w:t>
            </w:r>
            <w:hyperlink w:history="0" r:id="rId11"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408</w:t>
              </w:r>
            </w:hyperlink>
            <w:r>
              <w:rPr>
                <w:sz w:val="20"/>
                <w:color w:val="392c69"/>
              </w:rPr>
              <w:t xml:space="preserve">, от 22.05.2019 </w:t>
            </w:r>
            <w:hyperlink w:history="0" r:id="rId12"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333</w:t>
              </w:r>
            </w:hyperlink>
            <w:r>
              <w:rPr>
                <w:sz w:val="20"/>
                <w:color w:val="392c69"/>
              </w:rPr>
              <w:t xml:space="preserve">, от 21.09.2022 </w:t>
            </w:r>
            <w:hyperlink w:history="0" r:id="rId13" w:tooltip="Постановление Правительства Самарской области от 21.09.2022 N 786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25.10.2023 </w:t>
            </w:r>
            <w:hyperlink w:history="0" r:id="rId14"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853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Закон Самарской области от 14.12.2004 N 158-ГД (ред. от 14.04.2022) &quot;Об оплате труда работников государственных учреждений Самарской области&quot; (принят Самарской Губернской Думой 30.11.2004) {КонсультантПлюс}">
        <w:r>
          <w:rPr>
            <w:sz w:val="20"/>
            <w:color w:val="0000ff"/>
          </w:rPr>
          <w:t xml:space="preserve">статьей 11</w:t>
        </w:r>
      </w:hyperlink>
      <w:r>
        <w:rPr>
          <w:sz w:val="20"/>
        </w:rPr>
        <w:t xml:space="preserve"> Закона Самарской области "Об оплате труда работников государственных учреждений Самарской области" в целях совершенствования оплаты труда работников государственных учреждений здравоохранения Самарской области Правительство Самарской области постановляет:</w:t>
      </w:r>
    </w:p>
    <w:p>
      <w:pPr>
        <w:pStyle w:val="0"/>
        <w:jc w:val="both"/>
      </w:pPr>
      <w:r>
        <w:rPr>
          <w:sz w:val="20"/>
        </w:rPr>
        <w:t xml:space="preserve">(преамбула в ред. </w:t>
      </w:r>
      <w:hyperlink w:history="0" r:id="rId16"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1 - 2. Утратили силу с 1 августа 2019 года. - </w:t>
      </w:r>
      <w:hyperlink w:history="0" r:id="rId17"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22.05.2019 N 333.</w:t>
      </w:r>
    </w:p>
    <w:bookmarkStart w:id="19" w:name="P19"/>
    <w:bookmarkEnd w:id="19"/>
    <w:p>
      <w:pPr>
        <w:pStyle w:val="0"/>
        <w:spacing w:before="200" w:line-rule="auto"/>
        <w:ind w:firstLine="540"/>
        <w:jc w:val="both"/>
      </w:pPr>
      <w:r>
        <w:rPr>
          <w:sz w:val="20"/>
        </w:rPr>
        <w:t xml:space="preserve">3. Утвердить прилагаемое </w:t>
      </w:r>
      <w:hyperlink w:history="0" w:anchor="P59" w:tooltip="ПОЛОЖЕНИЕ">
        <w:r>
          <w:rPr>
            <w:sz w:val="20"/>
            <w:color w:val="0000ff"/>
          </w:rPr>
          <w:t xml:space="preserve">Положение</w:t>
        </w:r>
      </w:hyperlink>
      <w:r>
        <w:rPr>
          <w:sz w:val="20"/>
        </w:rPr>
        <w:t xml:space="preserve"> об оплате труда работников государственных учреждений Самарской области, подведомственных министерству здравоохранения Самарской области.</w:t>
      </w:r>
    </w:p>
    <w:p>
      <w:pPr>
        <w:pStyle w:val="0"/>
        <w:jc w:val="both"/>
      </w:pPr>
      <w:r>
        <w:rPr>
          <w:sz w:val="20"/>
        </w:rPr>
        <w:t xml:space="preserve">(п. 3 в ред. </w:t>
      </w:r>
      <w:hyperlink w:history="0" r:id="rId18"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4. Установить, что действие </w:t>
      </w:r>
      <w:hyperlink w:history="0" w:anchor="P19" w:tooltip="3. Утвердить прилагаемое Положение об оплате труда работников государственных учреждений Самарской области, подведомственных министерству здравоохранения Самарской области.">
        <w:r>
          <w:rPr>
            <w:sz w:val="20"/>
            <w:color w:val="0000ff"/>
          </w:rPr>
          <w:t xml:space="preserve">пункта 3</w:t>
        </w:r>
      </w:hyperlink>
      <w:r>
        <w:rPr>
          <w:sz w:val="20"/>
        </w:rPr>
        <w:t xml:space="preserve"> настоящего Постановления распространяется на работников государственных учреждений Самарской области, подведомственных министерству здравоохранения Самарской области, за исключением государственного бюджетного учреждения здравоохранения "Самарский областной медицинский информационно-аналитический центр", государственного казенного учреждения Самарской области "Самарафармация", государственных образовательных учреждений.</w:t>
      </w:r>
    </w:p>
    <w:p>
      <w:pPr>
        <w:pStyle w:val="0"/>
        <w:jc w:val="both"/>
      </w:pPr>
      <w:r>
        <w:rPr>
          <w:sz w:val="20"/>
        </w:rPr>
        <w:t xml:space="preserve">(п. 4 в ред. </w:t>
      </w:r>
      <w:hyperlink w:history="0" r:id="rId19"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5. Установить, что расходное обязательство Самарской области, возникающее в результате принятия настоящего Постановления, исполняется Самарской областью самостоятельно за счет средств областного бюджета в пределах общего объема бюджетных ассигнований, предусматриваемого в установленном порядке министерству здравоохранения Самарской области как главному распорядителю бюджетных средств на соответствующий финансовый год.</w:t>
      </w:r>
    </w:p>
    <w:p>
      <w:pPr>
        <w:pStyle w:val="0"/>
        <w:spacing w:before="200" w:line-rule="auto"/>
        <w:ind w:firstLine="540"/>
        <w:jc w:val="both"/>
      </w:pPr>
      <w:r>
        <w:rPr>
          <w:sz w:val="20"/>
        </w:rPr>
        <w:t xml:space="preserve">6. Утратил силу с 1 августа 2019 года. - </w:t>
      </w:r>
      <w:hyperlink w:history="0" r:id="rId20"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7. Контроль за выполнением настоящего Постановления возложить на министерство здравоохранения Самарской области.</w:t>
      </w:r>
    </w:p>
    <w:p>
      <w:pPr>
        <w:pStyle w:val="0"/>
        <w:jc w:val="both"/>
      </w:pPr>
      <w:r>
        <w:rPr>
          <w:sz w:val="20"/>
        </w:rPr>
        <w:t xml:space="preserve">(п. 7 в ред. </w:t>
      </w:r>
      <w:hyperlink w:history="0" r:id="rId21"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8. Опубликовать настоящее Постановление в средствах массовой информации.</w:t>
      </w:r>
    </w:p>
    <w:p>
      <w:pPr>
        <w:pStyle w:val="0"/>
        <w:spacing w:before="200" w:line-rule="auto"/>
        <w:ind w:firstLine="540"/>
        <w:jc w:val="both"/>
      </w:pPr>
      <w:r>
        <w:rPr>
          <w:sz w:val="20"/>
        </w:rPr>
        <w:t xml:space="preserve">9. Настоящее Постановление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И.о. первого вице-губернатора - председателя</w:t>
      </w:r>
    </w:p>
    <w:p>
      <w:pPr>
        <w:pStyle w:val="0"/>
        <w:jc w:val="right"/>
      </w:pPr>
      <w:r>
        <w:rPr>
          <w:sz w:val="20"/>
        </w:rPr>
        <w:t xml:space="preserve">Правительства Самарской области</w:t>
      </w:r>
    </w:p>
    <w:p>
      <w:pPr>
        <w:pStyle w:val="0"/>
        <w:jc w:val="right"/>
      </w:pPr>
      <w:r>
        <w:rPr>
          <w:sz w:val="20"/>
        </w:rPr>
        <w:t xml:space="preserve">В.В.АЛЬТЕРГОТ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27 августа 2015 г. N 536</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ГОСУДАРСТВЕННЫХ УЧРЕЖДЕНИЙ ЗДРАВООХРАНЕНИЯ САМАРСКОЙ</w:t>
      </w:r>
    </w:p>
    <w:p>
      <w:pPr>
        <w:pStyle w:val="2"/>
        <w:jc w:val="center"/>
      </w:pPr>
      <w:r>
        <w:rPr>
          <w:sz w:val="20"/>
        </w:rPr>
        <w:t xml:space="preserve">ОБЛАСТИ, УЧАСТВУЮЩИХ В ПРОВЕДЕНИИ ЭКСПЕРИМЕНТА ПО АПРОБАЦИИ</w:t>
      </w:r>
    </w:p>
    <w:p>
      <w:pPr>
        <w:pStyle w:val="2"/>
        <w:jc w:val="center"/>
      </w:pPr>
      <w:r>
        <w:rPr>
          <w:sz w:val="20"/>
        </w:rPr>
        <w:t xml:space="preserve">НОВОЙ СИСТЕМЫ ОПЛАТЫ ТРУДА</w:t>
      </w:r>
    </w:p>
    <w:p>
      <w:pPr>
        <w:pStyle w:val="0"/>
        <w:jc w:val="both"/>
      </w:pPr>
      <w:r>
        <w:rPr>
          <w:sz w:val="20"/>
        </w:rPr>
      </w:r>
    </w:p>
    <w:p>
      <w:pPr>
        <w:pStyle w:val="0"/>
        <w:ind w:firstLine="540"/>
        <w:jc w:val="both"/>
      </w:pPr>
      <w:r>
        <w:rPr>
          <w:sz w:val="20"/>
        </w:rPr>
        <w:t xml:space="preserve">Утратил силу с 1 августа 2019 года. - </w:t>
      </w:r>
      <w:hyperlink w:history="0" r:id="rId22"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22.05.2019 N 333.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27 августа 2015 г. N 536</w:t>
      </w:r>
    </w:p>
    <w:p>
      <w:pPr>
        <w:pStyle w:val="0"/>
        <w:jc w:val="both"/>
      </w:pPr>
      <w:r>
        <w:rPr>
          <w:sz w:val="20"/>
        </w:rPr>
      </w:r>
    </w:p>
    <w:bookmarkStart w:id="59" w:name="P59"/>
    <w:bookmarkEnd w:id="59"/>
    <w:p>
      <w:pPr>
        <w:pStyle w:val="2"/>
        <w:jc w:val="center"/>
      </w:pPr>
      <w:r>
        <w:rPr>
          <w:sz w:val="20"/>
        </w:rPr>
        <w:t xml:space="preserve">ПОЛОЖЕНИЕ</w:t>
      </w:r>
    </w:p>
    <w:p>
      <w:pPr>
        <w:pStyle w:val="2"/>
        <w:jc w:val="center"/>
      </w:pPr>
      <w:r>
        <w:rPr>
          <w:sz w:val="20"/>
        </w:rPr>
        <w:t xml:space="preserve">ОБ ОПЛАТЕ ТРУДА РАБОТНИКОВ ГОСУДАРСТВЕННЫХ УЧРЕЖДЕНИЙ</w:t>
      </w:r>
    </w:p>
    <w:p>
      <w:pPr>
        <w:pStyle w:val="2"/>
        <w:jc w:val="center"/>
      </w:pPr>
      <w:r>
        <w:rPr>
          <w:sz w:val="20"/>
        </w:rPr>
        <w:t xml:space="preserve">САМАРСКОЙ ОБЛАСТИ, ПОДВЕДОМСТВЕННЫХ МИНИСТЕРСТВУ</w:t>
      </w:r>
    </w:p>
    <w:p>
      <w:pPr>
        <w:pStyle w:val="2"/>
        <w:jc w:val="center"/>
      </w:pPr>
      <w:r>
        <w:rPr>
          <w:sz w:val="20"/>
        </w:rPr>
        <w:t xml:space="preserve">ЗДРАВООХРАНЕНИЯ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28.12.2015 </w:t>
            </w:r>
            <w:hyperlink w:history="0" r:id="rId23"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N 891</w:t>
              </w:r>
            </w:hyperlink>
            <w:r>
              <w:rPr>
                <w:sz w:val="20"/>
                <w:color w:val="392c69"/>
              </w:rPr>
              <w:t xml:space="preserve">,</w:t>
            </w:r>
          </w:p>
          <w:p>
            <w:pPr>
              <w:pStyle w:val="0"/>
              <w:jc w:val="center"/>
            </w:pPr>
            <w:r>
              <w:rPr>
                <w:sz w:val="20"/>
                <w:color w:val="392c69"/>
              </w:rPr>
              <w:t xml:space="preserve">от 22.08.2016 </w:t>
            </w:r>
            <w:hyperlink w:history="0" r:id="rId24" w:tooltip="Постановление Правительства Самарской области от 22.08.2016 N 472 (ред. от 22.05.2019) &quot;О внесении изменений в отдельные постановления Правительства Самарской области&quot; {КонсультантПлюс}">
              <w:r>
                <w:rPr>
                  <w:sz w:val="20"/>
                  <w:color w:val="0000ff"/>
                </w:rPr>
                <w:t xml:space="preserve">N 472</w:t>
              </w:r>
            </w:hyperlink>
            <w:r>
              <w:rPr>
                <w:sz w:val="20"/>
                <w:color w:val="392c69"/>
              </w:rPr>
              <w:t xml:space="preserve">, от 13.02.2017 </w:t>
            </w:r>
            <w:hyperlink w:history="0" r:id="rId25"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N 91</w:t>
              </w:r>
            </w:hyperlink>
            <w:r>
              <w:rPr>
                <w:sz w:val="20"/>
                <w:color w:val="392c69"/>
              </w:rPr>
              <w:t xml:space="preserve">, от 23.06.2017 </w:t>
            </w:r>
            <w:hyperlink w:history="0" r:id="rId26" w:tooltip="Постановление Правительства Самарской области от 23.06.2017 N 399 (ред. от 22.05.2019) &quot;О внесении изменений в отдельные постановления Правительства Самарской области&quot; {КонсультантПлюс}">
              <w:r>
                <w:rPr>
                  <w:sz w:val="20"/>
                  <w:color w:val="0000ff"/>
                </w:rPr>
                <w:t xml:space="preserve">N 399</w:t>
              </w:r>
            </w:hyperlink>
            <w:r>
              <w:rPr>
                <w:sz w:val="20"/>
                <w:color w:val="392c69"/>
              </w:rPr>
              <w:t xml:space="preserve">,</w:t>
            </w:r>
          </w:p>
          <w:p>
            <w:pPr>
              <w:pStyle w:val="0"/>
              <w:jc w:val="center"/>
            </w:pPr>
            <w:r>
              <w:rPr>
                <w:sz w:val="20"/>
                <w:color w:val="392c69"/>
              </w:rPr>
              <w:t xml:space="preserve">от 27.06.2017 </w:t>
            </w:r>
            <w:hyperlink w:history="0" r:id="rId27"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408</w:t>
              </w:r>
            </w:hyperlink>
            <w:r>
              <w:rPr>
                <w:sz w:val="20"/>
                <w:color w:val="392c69"/>
              </w:rPr>
              <w:t xml:space="preserve">, от 22.05.2019 </w:t>
            </w:r>
            <w:hyperlink w:history="0" r:id="rId28"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333</w:t>
              </w:r>
            </w:hyperlink>
            <w:r>
              <w:rPr>
                <w:sz w:val="20"/>
                <w:color w:val="392c69"/>
              </w:rPr>
              <w:t xml:space="preserve">, от 21.09.2022 </w:t>
            </w:r>
            <w:hyperlink w:history="0" r:id="rId29" w:tooltip="Постановление Правительства Самарской области от 21.09.2022 N 786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25.10.2023 </w:t>
            </w:r>
            <w:hyperlink w:history="0" r:id="rId30"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853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оплаты труда работников государственных учреждений Самарской области, подведомственных министерству здравоохранения Самарской области (далее - учреждения).</w:t>
      </w:r>
    </w:p>
    <w:p>
      <w:pPr>
        <w:pStyle w:val="0"/>
        <w:jc w:val="both"/>
      </w:pPr>
      <w:r>
        <w:rPr>
          <w:sz w:val="20"/>
        </w:rPr>
        <w:t xml:space="preserve">(п. 1.1 в ред. </w:t>
      </w:r>
      <w:hyperlink w:history="0" r:id="rId31"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1.2. Настоящее Положение разработано в соответствии с Трудовым </w:t>
      </w:r>
      <w:hyperlink w:history="0" r:id="rId3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кодексом</w:t>
        </w:r>
      </w:hyperlink>
      <w:r>
        <w:rPr>
          <w:sz w:val="20"/>
        </w:rPr>
        <w:t xml:space="preserve"> Российской Федерации (далее - ТК РФ) и </w:t>
      </w:r>
      <w:hyperlink w:history="0" r:id="rId33" w:tooltip="Закон Самарской области от 14.12.2004 N 158-ГД (ред. от 14.04.2022) &quot;Об оплате труда работников государственных учреждений Самарской области&quot; (принят Самарской Губернской Думой 30.11.2004) {КонсультантПлюс}">
        <w:r>
          <w:rPr>
            <w:sz w:val="20"/>
            <w:color w:val="0000ff"/>
          </w:rPr>
          <w:t xml:space="preserve">Законом</w:t>
        </w:r>
      </w:hyperlink>
      <w:r>
        <w:rPr>
          <w:sz w:val="20"/>
        </w:rPr>
        <w:t xml:space="preserve"> Самарской области "Об оплате труда работников государственных учреждений Самарской области" в целях совершенствования оплаты труда работников учреждений и повышения их мотивации к качественным результатам труда.</w:t>
      </w:r>
    </w:p>
    <w:p>
      <w:pPr>
        <w:pStyle w:val="0"/>
        <w:spacing w:before="200" w:line-rule="auto"/>
        <w:ind w:firstLine="540"/>
        <w:jc w:val="both"/>
      </w:pPr>
      <w:r>
        <w:rPr>
          <w:sz w:val="20"/>
        </w:rPr>
        <w:t xml:space="preserve">1.3. Заработная плата работников учреждений состоит из должностного оклада (оклада), выплат компенсационного и стимулирующего характера.</w:t>
      </w:r>
    </w:p>
    <w:p>
      <w:pPr>
        <w:pStyle w:val="0"/>
        <w:spacing w:before="200" w:line-rule="auto"/>
        <w:ind w:firstLine="540"/>
        <w:jc w:val="both"/>
      </w:pPr>
      <w:r>
        <w:rPr>
          <w:sz w:val="20"/>
        </w:rPr>
        <w:t xml:space="preserve">1.4. Заработная плата работников учреждений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учреждений и выполнения ими работ той же квалификации.</w:t>
      </w:r>
    </w:p>
    <w:p>
      <w:pPr>
        <w:pStyle w:val="0"/>
        <w:spacing w:before="200" w:line-rule="auto"/>
        <w:ind w:firstLine="540"/>
        <w:jc w:val="both"/>
      </w:pPr>
      <w:r>
        <w:rPr>
          <w:sz w:val="20"/>
        </w:rPr>
        <w:t xml:space="preserve">1.5. Заработная плата работников учреждений максимальными размерами не ограничивается.</w:t>
      </w:r>
    </w:p>
    <w:p>
      <w:pPr>
        <w:pStyle w:val="0"/>
        <w:spacing w:before="200" w:line-rule="auto"/>
        <w:ind w:firstLine="540"/>
        <w:jc w:val="both"/>
      </w:pPr>
      <w:r>
        <w:rPr>
          <w:sz w:val="20"/>
        </w:rPr>
        <w:t xml:space="preserve">1.6. Месячная заработная плата работников учреждений, полностью отработавших за этот период норму рабочего времени и выполнивших нормы труда (трудовые обязанности), не может быть ниже установленного федеральным законом минимального размера оплаты труда.</w:t>
      </w:r>
    </w:p>
    <w:p>
      <w:pPr>
        <w:pStyle w:val="0"/>
        <w:spacing w:before="200" w:line-rule="auto"/>
        <w:ind w:firstLine="540"/>
        <w:jc w:val="both"/>
      </w:pPr>
      <w:r>
        <w:rPr>
          <w:sz w:val="20"/>
        </w:rPr>
        <w:t xml:space="preserve">Месячная заработная плата работников учреждений, работающих в режиме неполного рабочего времени, по совместительству либо на неполную ставку, не может быть ниже части минимального размера оплаты труда, исчисленной пропорционально отработанному времени.</w:t>
      </w:r>
    </w:p>
    <w:p>
      <w:pPr>
        <w:pStyle w:val="0"/>
        <w:spacing w:before="200" w:line-rule="auto"/>
        <w:ind w:firstLine="540"/>
        <w:jc w:val="both"/>
      </w:pPr>
      <w:r>
        <w:rPr>
          <w:sz w:val="20"/>
        </w:rPr>
        <w:t xml:space="preserve">1.7. Предельная доля фонда оплаты труда работников административно-управленческого и вспомогательного персонала в фонде оплаты труда учреждения устанавливается в размере не более 40%.</w:t>
      </w:r>
    </w:p>
    <w:p>
      <w:pPr>
        <w:pStyle w:val="0"/>
        <w:spacing w:before="200" w:line-rule="auto"/>
        <w:ind w:firstLine="540"/>
        <w:jc w:val="both"/>
      </w:pPr>
      <w:r>
        <w:rPr>
          <w:sz w:val="20"/>
        </w:rPr>
        <w:t xml:space="preserve">Основной персонал - работники учреждения,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p>
    <w:p>
      <w:pPr>
        <w:pStyle w:val="0"/>
        <w:spacing w:before="200" w:line-rule="auto"/>
        <w:ind w:firstLine="540"/>
        <w:jc w:val="both"/>
      </w:pPr>
      <w:r>
        <w:rPr>
          <w:sz w:val="20"/>
        </w:rPr>
        <w:t xml:space="preserve">Вспомогательный персонал - работники учреждения, создающие условия для оказания услуг (выполнения работ), направленных на достижение определенных уставом целей деятельности учреждения.</w:t>
      </w:r>
    </w:p>
    <w:p>
      <w:pPr>
        <w:pStyle w:val="0"/>
        <w:spacing w:before="200" w:line-rule="auto"/>
        <w:ind w:firstLine="540"/>
        <w:jc w:val="both"/>
      </w:pPr>
      <w:r>
        <w:rPr>
          <w:sz w:val="20"/>
        </w:rPr>
        <w:t xml:space="preserve">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pPr>
        <w:pStyle w:val="0"/>
        <w:spacing w:before="200" w:line-rule="auto"/>
        <w:ind w:firstLine="540"/>
        <w:jc w:val="both"/>
      </w:pPr>
      <w:r>
        <w:rPr>
          <w:sz w:val="20"/>
        </w:rPr>
        <w:t xml:space="preserve">Перечень должностей, относящихся к основному, вспомогательному и административно-управленческому персоналу, утверждается руководителем учреждения по согласованию с представительным органом работников учреждения с учетом примерного перечня должностей основного, вспомогательного и административно-управленческого персонала, утвержденного приказом министерства здравоохранения Самарской области.</w:t>
      </w:r>
    </w:p>
    <w:p>
      <w:pPr>
        <w:pStyle w:val="0"/>
        <w:jc w:val="both"/>
      </w:pPr>
      <w:r>
        <w:rPr>
          <w:sz w:val="20"/>
        </w:rPr>
        <w:t xml:space="preserve">(в ред. </w:t>
      </w:r>
      <w:hyperlink w:history="0" r:id="rId34"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jc w:val="both"/>
      </w:pPr>
      <w:r>
        <w:rPr>
          <w:sz w:val="20"/>
        </w:rPr>
      </w:r>
    </w:p>
    <w:p>
      <w:pPr>
        <w:pStyle w:val="2"/>
        <w:outlineLvl w:val="1"/>
        <w:jc w:val="center"/>
      </w:pPr>
      <w:r>
        <w:rPr>
          <w:sz w:val="20"/>
        </w:rPr>
        <w:t xml:space="preserve">2. Установление должностных окладов</w:t>
      </w:r>
    </w:p>
    <w:p>
      <w:pPr>
        <w:pStyle w:val="0"/>
        <w:jc w:val="both"/>
      </w:pPr>
      <w:r>
        <w:rPr>
          <w:sz w:val="20"/>
        </w:rPr>
      </w:r>
    </w:p>
    <w:p>
      <w:pPr>
        <w:pStyle w:val="0"/>
        <w:ind w:firstLine="540"/>
        <w:jc w:val="both"/>
      </w:pPr>
      <w:r>
        <w:rPr>
          <w:sz w:val="20"/>
        </w:rPr>
        <w:t xml:space="preserve">2.1. Должностные оклады по должностям медицинских и фармацевтических работников учреждений, отнесенным к соответствующим </w:t>
      </w:r>
      <w:hyperlink w:history="0" r:id="rId35" w:tooltip="Приказ Минздравсоцразвития России от 06.08.2007 N 526 (ред. от 03.03.2017) &quot;Об утверждении профессиональных квалификационных групп должностей медицинских и фармацевтических работников&quot; (Зарегистрировано в Минюсте России 27.09.2007 N 10190) {КонсультантПлюс}">
        <w:r>
          <w:rPr>
            <w:sz w:val="20"/>
            <w:color w:val="0000ff"/>
          </w:rPr>
          <w:t xml:space="preserve">профессиональным квалификационным группам</w:t>
        </w:r>
      </w:hyperlink>
      <w:r>
        <w:rPr>
          <w:sz w:val="20"/>
        </w:rPr>
        <w:t xml:space="preserve"> (далее - ПКГ), утвержденным приказом Министерства здравоохранения и социального развития Российской Федерации от 06.08.2007 N 526, устанавливаются в соответствии с </w:t>
      </w:r>
      <w:hyperlink w:history="0" w:anchor="P320" w:tooltip="ДОЛЖНОСТНЫЕ ОКЛАДЫ">
        <w:r>
          <w:rPr>
            <w:sz w:val="20"/>
            <w:color w:val="0000ff"/>
          </w:rPr>
          <w:t xml:space="preserve">приложением 1</w:t>
        </w:r>
      </w:hyperlink>
      <w:r>
        <w:rPr>
          <w:sz w:val="20"/>
        </w:rPr>
        <w:t xml:space="preserve"> к настоящему Положению.</w:t>
      </w:r>
    </w:p>
    <w:p>
      <w:pPr>
        <w:pStyle w:val="0"/>
        <w:spacing w:before="200" w:line-rule="auto"/>
        <w:ind w:firstLine="540"/>
        <w:jc w:val="both"/>
      </w:pPr>
      <w:hyperlink w:history="0" w:anchor="P393" w:tooltip="ДОЛЖНОСТНЫЕ ОКЛАДЫ">
        <w:r>
          <w:rPr>
            <w:sz w:val="20"/>
            <w:color w:val="0000ff"/>
          </w:rPr>
          <w:t xml:space="preserve">Должностные оклады</w:t>
        </w:r>
      </w:hyperlink>
      <w:r>
        <w:rPr>
          <w:sz w:val="20"/>
        </w:rPr>
        <w:t xml:space="preserve"> медицинских и фармацевтических работников, должности которых не отнесены к ПКГ, устанавливаются в соответствии с приложением 1.1 к настоящему Положению.</w:t>
      </w:r>
    </w:p>
    <w:p>
      <w:pPr>
        <w:pStyle w:val="0"/>
        <w:jc w:val="both"/>
      </w:pPr>
      <w:r>
        <w:rPr>
          <w:sz w:val="20"/>
        </w:rPr>
        <w:t xml:space="preserve">(абзац введен </w:t>
      </w:r>
      <w:hyperlink w:history="0" r:id="rId36"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2.2. Должностные оклады по должностям работников учреждений, занятых в сфере здравоохранения и предоставления социальных услуг, должности которых отнесены к </w:t>
      </w:r>
      <w:hyperlink w:history="0" r:id="rId37" w:tooltip="Приказ Минздравсоцразвития России от 31.03.2008 N 149н (ред. от 03.03.2017) &quot;Об утверждении профессиональных квалификационных групп должностей работников, занятых в сфере здравоохранения и предоставления социальных услуг&quot; (Зарегистрировано в Минюсте России 09.04.2008 N 11481) {КонсультантПлюс}">
        <w:r>
          <w:rPr>
            <w:sz w:val="20"/>
            <w:color w:val="0000ff"/>
          </w:rPr>
          <w:t xml:space="preserve">ПКГ</w:t>
        </w:r>
      </w:hyperlink>
      <w:r>
        <w:rPr>
          <w:sz w:val="20"/>
        </w:rPr>
        <w:t xml:space="preserve">, утвержденным приказом Министерства здравоохранения и социального развития Российской Федерации от 31.03.2008 N 149н, устанавливаются в соответствии с </w:t>
      </w:r>
      <w:hyperlink w:history="0" w:anchor="P427" w:tooltip="ДОЛЖНОСТНЫЕ ОКЛАДЫ">
        <w:r>
          <w:rPr>
            <w:sz w:val="20"/>
            <w:color w:val="0000ff"/>
          </w:rPr>
          <w:t xml:space="preserve">приложением 2</w:t>
        </w:r>
      </w:hyperlink>
      <w:r>
        <w:rPr>
          <w:sz w:val="20"/>
        </w:rPr>
        <w:t xml:space="preserve"> к настоящему Положению.</w:t>
      </w:r>
    </w:p>
    <w:p>
      <w:pPr>
        <w:pStyle w:val="0"/>
        <w:jc w:val="both"/>
      </w:pPr>
      <w:r>
        <w:rPr>
          <w:sz w:val="20"/>
        </w:rPr>
        <w:t xml:space="preserve">(в ред. </w:t>
      </w:r>
      <w:hyperlink w:history="0" r:id="rId38"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2.3. Должностные оклады по должностям работников, отнесенным к </w:t>
      </w:r>
      <w:hyperlink w:history="0" r:id="rId39"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ПКГ</w:t>
        </w:r>
      </w:hyperlink>
      <w:r>
        <w:rPr>
          <w:sz w:val="20"/>
        </w:rP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N 247н, устанавливаются в соответствии с </w:t>
      </w:r>
      <w:hyperlink w:history="0" w:anchor="P467" w:tooltip="ДОЛЖНОСТНЫЕ ОКЛАДЫ">
        <w:r>
          <w:rPr>
            <w:sz w:val="20"/>
            <w:color w:val="0000ff"/>
          </w:rPr>
          <w:t xml:space="preserve">приложением 3</w:t>
        </w:r>
      </w:hyperlink>
      <w:r>
        <w:rPr>
          <w:sz w:val="20"/>
        </w:rPr>
        <w:t xml:space="preserve"> к настоящему Положению.</w:t>
      </w:r>
    </w:p>
    <w:p>
      <w:pPr>
        <w:pStyle w:val="0"/>
        <w:spacing w:before="200" w:line-rule="auto"/>
        <w:ind w:firstLine="540"/>
        <w:jc w:val="both"/>
      </w:pPr>
      <w:r>
        <w:rPr>
          <w:sz w:val="20"/>
        </w:rPr>
        <w:t xml:space="preserve">Должностные оклады специалистов и служащих, должности которых не отнесены к </w:t>
      </w:r>
      <w:hyperlink w:history="0" r:id="rId40"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 {КонсультантПлюс}">
        <w:r>
          <w:rPr>
            <w:sz w:val="20"/>
            <w:color w:val="0000ff"/>
          </w:rPr>
          <w:t xml:space="preserve">ПКГ</w:t>
        </w:r>
      </w:hyperlink>
      <w:r>
        <w:rPr>
          <w:sz w:val="20"/>
        </w:rPr>
        <w:t xml:space="preserve">, устанавливаются в соответствии с </w:t>
      </w:r>
      <w:hyperlink w:history="0" w:anchor="P535" w:tooltip="ДОЛЖНОСТНЫЕ ОКЛАДЫ">
        <w:r>
          <w:rPr>
            <w:sz w:val="20"/>
            <w:color w:val="0000ff"/>
          </w:rPr>
          <w:t xml:space="preserve">приложением 3.1</w:t>
        </w:r>
      </w:hyperlink>
      <w:r>
        <w:rPr>
          <w:sz w:val="20"/>
        </w:rPr>
        <w:t xml:space="preserve"> к настоящему Положению.</w:t>
      </w:r>
    </w:p>
    <w:p>
      <w:pPr>
        <w:pStyle w:val="0"/>
        <w:jc w:val="both"/>
      </w:pPr>
      <w:r>
        <w:rPr>
          <w:sz w:val="20"/>
        </w:rPr>
        <w:t xml:space="preserve">(абзац введен </w:t>
      </w:r>
      <w:hyperlink w:history="0" r:id="rId41" w:tooltip="Постановление Правительства Самарской области от 22.08.2016 N 472 (ред. от 22.05.2019)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22.08.2016 N 472)</w:t>
      </w:r>
    </w:p>
    <w:p>
      <w:pPr>
        <w:pStyle w:val="0"/>
        <w:spacing w:before="200" w:line-rule="auto"/>
        <w:ind w:firstLine="540"/>
        <w:jc w:val="both"/>
      </w:pPr>
      <w:r>
        <w:rPr>
          <w:sz w:val="20"/>
        </w:rPr>
        <w:t xml:space="preserve">2.4. Размер должностного оклада заместителя руководителя структурного подразделения учреждения, должность которого не включена в ПКГ, устанавливается на 10% ниже должностного оклада соответствующего руководителя.</w:t>
      </w:r>
    </w:p>
    <w:p>
      <w:pPr>
        <w:pStyle w:val="0"/>
        <w:jc w:val="both"/>
      </w:pPr>
      <w:r>
        <w:rPr>
          <w:sz w:val="20"/>
        </w:rPr>
        <w:t xml:space="preserve">(в ред. </w:t>
      </w:r>
      <w:hyperlink w:history="0" r:id="rId42"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2.5. Должностные оклады по должностям работников, отнесенным к ПКГ других видов экономической деятельности, устанавливаются в соответствии с </w:t>
      </w:r>
      <w:hyperlink w:history="0" w:anchor="P604" w:tooltip="ДОЛЖНОСТНЫЕ ОКЛАДЫ">
        <w:r>
          <w:rPr>
            <w:sz w:val="20"/>
            <w:color w:val="0000ff"/>
          </w:rPr>
          <w:t xml:space="preserve">приложением 4</w:t>
        </w:r>
      </w:hyperlink>
      <w:r>
        <w:rPr>
          <w:sz w:val="20"/>
        </w:rPr>
        <w:t xml:space="preserve"> к настоящему Положению.</w:t>
      </w:r>
    </w:p>
    <w:p>
      <w:pPr>
        <w:pStyle w:val="0"/>
        <w:spacing w:before="200" w:line-rule="auto"/>
        <w:ind w:firstLine="540"/>
        <w:jc w:val="both"/>
      </w:pPr>
      <w:r>
        <w:rPr>
          <w:sz w:val="20"/>
        </w:rPr>
        <w:t xml:space="preserve">2.6. Оклады по профессиям рабочих, отнесенным к </w:t>
      </w:r>
      <w:hyperlink w:history="0" r:id="rId43"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 {КонсультантПлюс}">
        <w:r>
          <w:rPr>
            <w:sz w:val="20"/>
            <w:color w:val="0000ff"/>
          </w:rPr>
          <w:t xml:space="preserve">ПКГ</w:t>
        </w:r>
      </w:hyperlink>
      <w:r>
        <w:rPr>
          <w:sz w:val="20"/>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N 248н, устанавливаются в соответствии с </w:t>
      </w:r>
      <w:hyperlink w:history="0" w:anchor="P678" w:tooltip="ОКЛАДЫ">
        <w:r>
          <w:rPr>
            <w:sz w:val="20"/>
            <w:color w:val="0000ff"/>
          </w:rPr>
          <w:t xml:space="preserve">приложением 5</w:t>
        </w:r>
      </w:hyperlink>
      <w:r>
        <w:rPr>
          <w:sz w:val="20"/>
        </w:rPr>
        <w:t xml:space="preserve"> к настоящему Положению.</w:t>
      </w:r>
    </w:p>
    <w:p>
      <w:pPr>
        <w:pStyle w:val="0"/>
        <w:spacing w:before="200" w:line-rule="auto"/>
        <w:ind w:firstLine="540"/>
        <w:jc w:val="both"/>
      </w:pPr>
      <w:r>
        <w:rPr>
          <w:sz w:val="20"/>
        </w:rPr>
        <w:t xml:space="preserve">Перечень профессий рабочих, выполняющих важные (особо важные) и ответственные (особо ответственные) работы, оплата труда которых может производиться по 4 квалификационному уровню ПКГ "Общеотраслевые профессии рабочих второго уровня", утверждается министерством здравоохранения Самарской области.</w:t>
      </w:r>
    </w:p>
    <w:p>
      <w:pPr>
        <w:pStyle w:val="0"/>
        <w:spacing w:before="200" w:line-rule="auto"/>
        <w:ind w:firstLine="540"/>
        <w:jc w:val="both"/>
      </w:pPr>
      <w:r>
        <w:rPr>
          <w:sz w:val="20"/>
        </w:rPr>
        <w:t xml:space="preserve">2.7. Руководителям и специалистам учреждений, работающим в сельских населенных пунктах и поселках городского типа, устанавливаются должностные оклады, повышенные на 25% по сравнению с должностными окладами руководителей и специалистов, работающих в городах.</w:t>
      </w:r>
    </w:p>
    <w:p>
      <w:pPr>
        <w:pStyle w:val="0"/>
        <w:spacing w:before="200" w:line-rule="auto"/>
        <w:ind w:firstLine="540"/>
        <w:jc w:val="both"/>
      </w:pPr>
      <w:r>
        <w:rPr>
          <w:sz w:val="20"/>
        </w:rPr>
        <w:t xml:space="preserve">2.8. При определении размеров должностных окладов (окладов) работников специализированных учреждений, предметом деятельности которых является оказание фтизиатрической помощи, за исключением работников, условия оплаты труда которых устанавливаются </w:t>
      </w:r>
      <w:hyperlink w:history="0" w:anchor="P209" w:tooltip="5. Условия оплаты труда руководителя учреждения,">
        <w:r>
          <w:rPr>
            <w:sz w:val="20"/>
            <w:color w:val="0000ff"/>
          </w:rPr>
          <w:t xml:space="preserve">разделом 5</w:t>
        </w:r>
      </w:hyperlink>
      <w:r>
        <w:rPr>
          <w:sz w:val="20"/>
        </w:rPr>
        <w:t xml:space="preserve"> настоящего Положения, применяются повышающие коэффициенты от 1,01 до 1,3.</w:t>
      </w:r>
    </w:p>
    <w:p>
      <w:pPr>
        <w:pStyle w:val="0"/>
        <w:jc w:val="both"/>
      </w:pPr>
      <w:r>
        <w:rPr>
          <w:sz w:val="20"/>
        </w:rPr>
        <w:t xml:space="preserve">(в ред. Постановлений Правительства Самарской области от 28.12.2015 </w:t>
      </w:r>
      <w:hyperlink w:history="0" r:id="rId44"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N 891</w:t>
        </w:r>
      </w:hyperlink>
      <w:r>
        <w:rPr>
          <w:sz w:val="20"/>
        </w:rPr>
        <w:t xml:space="preserve">, от 27.06.2017 </w:t>
      </w:r>
      <w:hyperlink w:history="0" r:id="rId45"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408</w:t>
        </w:r>
      </w:hyperlink>
      <w:r>
        <w:rPr>
          <w:sz w:val="20"/>
        </w:rPr>
        <w:t xml:space="preserve">)</w:t>
      </w:r>
    </w:p>
    <w:p>
      <w:pPr>
        <w:pStyle w:val="0"/>
        <w:spacing w:before="200" w:line-rule="auto"/>
        <w:ind w:firstLine="540"/>
        <w:jc w:val="both"/>
      </w:pPr>
      <w:r>
        <w:rPr>
          <w:sz w:val="20"/>
        </w:rPr>
        <w:t xml:space="preserve">При определении размеров должностных окладов медицинских и фармацевтических работников учреждений, относящихся к третьему уровню оказания медицинской помощи, за исключением работников, условия оплаты труда которых устанавливаются </w:t>
      </w:r>
      <w:hyperlink w:history="0" w:anchor="P209" w:tooltip="5. Условия оплаты труда руководителя учреждения,">
        <w:r>
          <w:rPr>
            <w:sz w:val="20"/>
            <w:color w:val="0000ff"/>
          </w:rPr>
          <w:t xml:space="preserve">разделом 5</w:t>
        </w:r>
      </w:hyperlink>
      <w:r>
        <w:rPr>
          <w:sz w:val="20"/>
        </w:rPr>
        <w:t xml:space="preserve"> настоящего Положения, применяются повышающие коэффициенты от 1,01 до 1,3. Распределение учреждений по уровням в зависимости от видов оказания медицинской помощи утверждается приказом министерства здравоохранения Самарской области.</w:t>
      </w:r>
    </w:p>
    <w:p>
      <w:pPr>
        <w:pStyle w:val="0"/>
        <w:jc w:val="both"/>
      </w:pPr>
      <w:r>
        <w:rPr>
          <w:sz w:val="20"/>
        </w:rPr>
        <w:t xml:space="preserve">(в ред. </w:t>
      </w:r>
      <w:hyperlink w:history="0" r:id="rId46"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28.12.2015 N 891)</w:t>
      </w:r>
    </w:p>
    <w:p>
      <w:pPr>
        <w:pStyle w:val="0"/>
        <w:spacing w:before="200" w:line-rule="auto"/>
        <w:ind w:firstLine="540"/>
        <w:jc w:val="both"/>
      </w:pPr>
      <w:r>
        <w:rPr>
          <w:sz w:val="20"/>
        </w:rPr>
        <w:t xml:space="preserve">Установление должностных окладов (окладов) с применением повышающих коэффициентов осуществляется с учетом соблюдения дифференциации в зависимости от квалификационного уровня должности (профессии) в рамках одной ПКГ.</w:t>
      </w:r>
    </w:p>
    <w:p>
      <w:pPr>
        <w:pStyle w:val="0"/>
        <w:jc w:val="both"/>
      </w:pPr>
      <w:r>
        <w:rPr>
          <w:sz w:val="20"/>
        </w:rPr>
        <w:t xml:space="preserve">(абзац введен </w:t>
      </w:r>
      <w:hyperlink w:history="0" r:id="rId47"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Полученные в результате применения повышающих коэффициентов размеры должностных окладов (окладов) подлежат округлению: менее 50 копеек не учитываются, 50 копеек и более округляются до полного рубля.</w:t>
      </w:r>
    </w:p>
    <w:p>
      <w:pPr>
        <w:pStyle w:val="0"/>
        <w:jc w:val="both"/>
      </w:pPr>
      <w:r>
        <w:rPr>
          <w:sz w:val="20"/>
        </w:rPr>
        <w:t xml:space="preserve">(абзац введен </w:t>
      </w:r>
      <w:hyperlink w:history="0" r:id="rId48"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28.12.2015 N 891; в ред. </w:t>
      </w:r>
      <w:hyperlink w:history="0" r:id="rId49"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2.9. Должностные оклады (оклады) работникам учреждений устанавливаются приказом (распоряжением) руководителя учреждения.</w:t>
      </w:r>
    </w:p>
    <w:p>
      <w:pPr>
        <w:pStyle w:val="0"/>
        <w:spacing w:before="200" w:line-rule="auto"/>
        <w:ind w:firstLine="540"/>
        <w:jc w:val="both"/>
      </w:pPr>
      <w:r>
        <w:rPr>
          <w:sz w:val="20"/>
        </w:rPr>
        <w:t xml:space="preserve">2.10. Должностные оклады (оклады) работников учреждений индексируются в сроки и размерах, устанавливаемых Правительством Самарской области.</w:t>
      </w:r>
    </w:p>
    <w:p>
      <w:pPr>
        <w:pStyle w:val="0"/>
        <w:jc w:val="both"/>
      </w:pPr>
      <w:r>
        <w:rPr>
          <w:sz w:val="20"/>
        </w:rPr>
      </w:r>
    </w:p>
    <w:bookmarkStart w:id="113" w:name="P113"/>
    <w:bookmarkEnd w:id="113"/>
    <w:p>
      <w:pPr>
        <w:pStyle w:val="2"/>
        <w:outlineLvl w:val="1"/>
        <w:jc w:val="center"/>
      </w:pPr>
      <w:r>
        <w:rPr>
          <w:sz w:val="20"/>
        </w:rPr>
        <w:t xml:space="preserve">3. Выплаты компенсационного характера</w:t>
      </w:r>
    </w:p>
    <w:p>
      <w:pPr>
        <w:pStyle w:val="0"/>
        <w:jc w:val="both"/>
      </w:pPr>
      <w:r>
        <w:rPr>
          <w:sz w:val="20"/>
        </w:rPr>
      </w:r>
    </w:p>
    <w:p>
      <w:pPr>
        <w:pStyle w:val="0"/>
        <w:ind w:firstLine="540"/>
        <w:jc w:val="both"/>
      </w:pPr>
      <w:r>
        <w:rPr>
          <w:sz w:val="20"/>
        </w:rPr>
        <w:t xml:space="preserve">3.1. Работникам учреждений производятся следующие выплаты компенсационного характера:</w:t>
      </w:r>
    </w:p>
    <w:p>
      <w:pPr>
        <w:pStyle w:val="0"/>
        <w:spacing w:before="200" w:line-rule="auto"/>
        <w:ind w:firstLine="540"/>
        <w:jc w:val="both"/>
      </w:pPr>
      <w:r>
        <w:rPr>
          <w:sz w:val="20"/>
        </w:rPr>
        <w:t xml:space="preserve">доплата за работу с вредными и (или) опасными условиями труда;</w:t>
      </w:r>
    </w:p>
    <w:p>
      <w:pPr>
        <w:pStyle w:val="0"/>
        <w:spacing w:before="200" w:line-rule="auto"/>
        <w:ind w:firstLine="540"/>
        <w:jc w:val="both"/>
      </w:pPr>
      <w:r>
        <w:rPr>
          <w:sz w:val="20"/>
        </w:rPr>
        <w:t xml:space="preserve">доплата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pPr>
        <w:pStyle w:val="0"/>
        <w:spacing w:before="200" w:line-rule="auto"/>
        <w:ind w:firstLine="540"/>
        <w:jc w:val="both"/>
      </w:pPr>
      <w:r>
        <w:rPr>
          <w:sz w:val="20"/>
        </w:rPr>
        <w:t xml:space="preserve">надбавка за работу со сведениями, составляющими государственную тайну;</w:t>
      </w:r>
    </w:p>
    <w:p>
      <w:pPr>
        <w:pStyle w:val="0"/>
        <w:spacing w:before="200" w:line-rule="auto"/>
        <w:ind w:firstLine="540"/>
        <w:jc w:val="both"/>
      </w:pPr>
      <w:r>
        <w:rPr>
          <w:sz w:val="20"/>
        </w:rPr>
        <w:t xml:space="preserve">доплата за оказание медицинской помощи (участие в оказании, обеспечении оказания медицинской помощи) по диагностике и лечению новой коронавирусной инфекции (COVID-19).</w:t>
      </w:r>
    </w:p>
    <w:p>
      <w:pPr>
        <w:pStyle w:val="0"/>
        <w:jc w:val="both"/>
      </w:pPr>
      <w:r>
        <w:rPr>
          <w:sz w:val="20"/>
        </w:rPr>
        <w:t xml:space="preserve">(абзац введен </w:t>
      </w:r>
      <w:hyperlink w:history="0" r:id="rId50" w:tooltip="Постановление Правительства Самарской области от 21.09.2022 N 786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21.09.2022 N 786)</w:t>
      </w:r>
    </w:p>
    <w:bookmarkStart w:id="121" w:name="P121"/>
    <w:bookmarkEnd w:id="121"/>
    <w:p>
      <w:pPr>
        <w:pStyle w:val="0"/>
        <w:spacing w:before="200" w:line-rule="auto"/>
        <w:ind w:firstLine="540"/>
        <w:jc w:val="both"/>
      </w:pPr>
      <w:r>
        <w:rPr>
          <w:sz w:val="20"/>
        </w:rPr>
        <w:t xml:space="preserve">3.2. Доплата за работу с вредными и (или) опасными условиями труда устанавливается в соответствии с </w:t>
      </w:r>
      <w:hyperlink w:history="0" r:id="rId5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ТК</w:t>
        </w:r>
      </w:hyperlink>
      <w:r>
        <w:rPr>
          <w:sz w:val="20"/>
        </w:rPr>
        <w:t xml:space="preserve"> РФ, Федеральным </w:t>
      </w:r>
      <w:hyperlink w:history="0" r:id="rId52"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законом</w:t>
        </w:r>
      </w:hyperlink>
      <w:r>
        <w:rPr>
          <w:sz w:val="20"/>
        </w:rPr>
        <w:t xml:space="preserve"> "О специальной оценке условий труда" и Федеральным </w:t>
      </w:r>
      <w:hyperlink w:history="0" r:id="rId5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0"/>
        <w:spacing w:before="200" w:line-rule="auto"/>
        <w:ind w:firstLine="540"/>
        <w:jc w:val="both"/>
      </w:pPr>
      <w:r>
        <w:rPr>
          <w:sz w:val="20"/>
        </w:rPr>
        <w:t xml:space="preserve">Основанием для установления доплаты работнику за работу с вредными и (или) опасными условиями труда является наличие карты специальной оценки условий труда, за исключением медицинских работников, непосредственно участвующих в оказании противотуберкулезной помощи, участвующих в оказании психиатрической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w:t>
      </w:r>
    </w:p>
    <w:p>
      <w:pPr>
        <w:pStyle w:val="0"/>
        <w:jc w:val="both"/>
      </w:pPr>
      <w:r>
        <w:rPr>
          <w:sz w:val="20"/>
        </w:rPr>
        <w:t xml:space="preserve">(в ред. </w:t>
      </w:r>
      <w:hyperlink w:history="0" r:id="rId54"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Минимальный размер доплаты работникам, занятым на работах с вредными и (или) опасными условиями труда, за исключением работников, занятых на работах с вредными и (или) опасными условиями труда, связанными с оказанием психиатрической помощи, противотуберкулезной помощи, диагностикой и лечением ВИЧ-инфицированных, составляет 4% должностного оклада (оклада), установленного для различных видов работ с нормальными условиями труда.</w:t>
      </w:r>
    </w:p>
    <w:p>
      <w:pPr>
        <w:pStyle w:val="0"/>
        <w:spacing w:before="200" w:line-rule="auto"/>
        <w:ind w:firstLine="540"/>
        <w:jc w:val="both"/>
      </w:pPr>
      <w:r>
        <w:rPr>
          <w:sz w:val="20"/>
        </w:rPr>
        <w:t xml:space="preserve">Минимальный размер доплаты работникам, занятым на работах с вредными и (или) опасными условиями труда, связанными с оказанием психиатрической помощи, противотуберкулезной помощи, диагностикой и лечением ВИЧ-инфицированных, устанавливается в соответствии с </w:t>
      </w:r>
      <w:hyperlink w:history="0" w:anchor="P718" w:tooltip="МИНИМАЛЬНЫЙ РАЗМЕР">
        <w:r>
          <w:rPr>
            <w:sz w:val="20"/>
            <w:color w:val="0000ff"/>
          </w:rPr>
          <w:t xml:space="preserve">приложением 6</w:t>
        </w:r>
      </w:hyperlink>
      <w:r>
        <w:rPr>
          <w:sz w:val="20"/>
        </w:rPr>
        <w:t xml:space="preserve"> к настоящему Положению.</w:t>
      </w:r>
    </w:p>
    <w:p>
      <w:pPr>
        <w:pStyle w:val="0"/>
        <w:spacing w:before="200" w:line-rule="auto"/>
        <w:ind w:firstLine="540"/>
        <w:jc w:val="both"/>
      </w:pPr>
      <w:r>
        <w:rPr>
          <w:sz w:val="20"/>
        </w:rPr>
        <w:t xml:space="preserve">Конкретные размеры и условия установления доплаты за вредные условия труда работникам, занятым на работах с вредными и (или) опасными условиями труда, определяются коллективными договорами, соглашениями, локальными нормативными актами учреждения, а также в соответствии с трудовым законодательством и иными нормативными правовыми актами, содержащими нормы трудового права и регулирующими правоотношения в области охраны труда.</w:t>
      </w:r>
    </w:p>
    <w:p>
      <w:pPr>
        <w:pStyle w:val="0"/>
        <w:spacing w:before="200" w:line-rule="auto"/>
        <w:ind w:firstLine="540"/>
        <w:jc w:val="both"/>
      </w:pPr>
      <w:r>
        <w:rPr>
          <w:sz w:val="20"/>
        </w:rPr>
        <w:t xml:space="preserve">Перечень должностей (профессий) работников учреждения, которым в соответствии с конкретными условиями труда в данном учреждении (структурном подразделении) и по должности (профессии) устанавливается доплата за вредные и (или) опасные условия труда к должностному окладу (окладу), в том числе за каждый час работы (далее - Перечень), утверждается руководителем учреждения.</w:t>
      </w:r>
    </w:p>
    <w:p>
      <w:pPr>
        <w:pStyle w:val="0"/>
        <w:spacing w:before="200" w:line-rule="auto"/>
        <w:ind w:firstLine="540"/>
        <w:jc w:val="both"/>
      </w:pPr>
      <w:r>
        <w:rPr>
          <w:sz w:val="20"/>
        </w:rPr>
        <w:t xml:space="preserve">В случае, если работник, должность (профессия, структурное подразделение) которого указана в Перечне, работает во вредных и (или) опасных условиях труда периодически, доплата к должностному окладу (окладу) осуществляется за фактически отработанное время.</w:t>
      </w:r>
    </w:p>
    <w:p>
      <w:pPr>
        <w:pStyle w:val="0"/>
        <w:spacing w:before="200" w:line-rule="auto"/>
        <w:ind w:firstLine="540"/>
        <w:jc w:val="both"/>
      </w:pPr>
      <w:r>
        <w:rPr>
          <w:sz w:val="20"/>
        </w:rPr>
        <w:t xml:space="preserve">В случае, если должность (профессия, структурное подразделение) указана в Перечне, но соответствующий работник фактически не работает во вредных и (или) опасных условиях труда, доплата к должностному окладу (окладу) этому работнику не устанавливается.</w:t>
      </w:r>
    </w:p>
    <w:p>
      <w:pPr>
        <w:pStyle w:val="0"/>
        <w:spacing w:before="200" w:line-rule="auto"/>
        <w:ind w:firstLine="540"/>
        <w:jc w:val="both"/>
      </w:pPr>
      <w:r>
        <w:rPr>
          <w:sz w:val="20"/>
        </w:rPr>
        <w:t xml:space="preserve">3.3. Оплата за работу в ночное время работникам учреждений производится в следующих размерах:</w:t>
      </w:r>
    </w:p>
    <w:bookmarkStart w:id="131" w:name="P131"/>
    <w:bookmarkEnd w:id="131"/>
    <w:p>
      <w:pPr>
        <w:pStyle w:val="0"/>
        <w:spacing w:before="200" w:line-rule="auto"/>
        <w:ind w:firstLine="540"/>
        <w:jc w:val="both"/>
      </w:pPr>
      <w:r>
        <w:rPr>
          <w:sz w:val="20"/>
        </w:rPr>
        <w:t xml:space="preserve">медицинским работникам в случае оказания экстренной и неотложной медицинской помощи - 60% часовой ставки, рассчитанной исходя из должностного оклада за каждый час работы в условиях оказания экстренной и неотложной медицинской помощи в ночное время. Учет рабочего времени в условиях оказания экстренной и неотложной медицинской помощи осуществляется в порядке, установленном локальными нормативными актами учреждения. Перечень структурных подразделений (должностей), которые могут оказывать экстренную и неотложную медицинскую помощь, утверждается руководителем учреждения с учетом мнения представительного органа работников;</w:t>
      </w:r>
    </w:p>
    <w:p>
      <w:pPr>
        <w:pStyle w:val="0"/>
        <w:jc w:val="both"/>
      </w:pPr>
      <w:r>
        <w:rPr>
          <w:sz w:val="20"/>
        </w:rPr>
        <w:t xml:space="preserve">(в ред. </w:t>
      </w:r>
      <w:hyperlink w:history="0" r:id="rId55"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28.12.2015 N 891)</w:t>
      </w:r>
    </w:p>
    <w:bookmarkStart w:id="133" w:name="P133"/>
    <w:bookmarkEnd w:id="133"/>
    <w:p>
      <w:pPr>
        <w:pStyle w:val="0"/>
        <w:spacing w:before="200" w:line-rule="auto"/>
        <w:ind w:firstLine="540"/>
        <w:jc w:val="both"/>
      </w:pPr>
      <w:r>
        <w:rPr>
          <w:sz w:val="20"/>
        </w:rPr>
        <w:t xml:space="preserve">персоналу выездных бригад, медицинским работникам и работникам связи станций (отделений) скорой медицинской помощи - 60% часовой ставки, рассчитанной исходя из должностного оклада, за каждый час работы в ночное время;</w:t>
      </w:r>
    </w:p>
    <w:p>
      <w:pPr>
        <w:pStyle w:val="0"/>
        <w:jc w:val="both"/>
      </w:pPr>
      <w:r>
        <w:rPr>
          <w:sz w:val="20"/>
        </w:rPr>
        <w:t xml:space="preserve">(в ред. </w:t>
      </w:r>
      <w:hyperlink w:history="0" r:id="rId56"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28.12.2015 N 891)</w:t>
      </w:r>
    </w:p>
    <w:p>
      <w:pPr>
        <w:pStyle w:val="0"/>
        <w:spacing w:before="200" w:line-rule="auto"/>
        <w:ind w:firstLine="540"/>
        <w:jc w:val="both"/>
      </w:pPr>
      <w:r>
        <w:rPr>
          <w:sz w:val="20"/>
        </w:rPr>
        <w:t xml:space="preserve">работникам учреждений, за исключением работников, указанных в </w:t>
      </w:r>
      <w:hyperlink w:history="0" w:anchor="P131" w:tooltip="медицинским работникам в случае оказания экстренной и неотложной медицинской помощи - 60% часовой ставки, рассчитанной исходя из должностного оклада за каждый час работы в условиях оказания экстренной и неотложной медицинской помощи в ночное время. Учет рабочего времени в условиях оказания экстренной и неотложной медицинской помощи осуществляется в порядке, установленном локальными нормативными актами учреждения. Перечень структурных подразделений (должностей), которые могут оказывать экстренную и неотло...">
        <w:r>
          <w:rPr>
            <w:sz w:val="20"/>
            <w:color w:val="0000ff"/>
          </w:rPr>
          <w:t xml:space="preserve">абзаце втором</w:t>
        </w:r>
      </w:hyperlink>
      <w:r>
        <w:rPr>
          <w:sz w:val="20"/>
        </w:rPr>
        <w:t xml:space="preserve"> и </w:t>
      </w:r>
      <w:hyperlink w:history="0" w:anchor="P133" w:tooltip="персоналу выездных бригад, медицинским работникам и работникам связи станций (отделений) скорой медицинской помощи - 60% часовой ставки, рассчитанной исходя из должностного оклада, за каждый час работы в ночное время;">
        <w:r>
          <w:rPr>
            <w:sz w:val="20"/>
            <w:color w:val="0000ff"/>
          </w:rPr>
          <w:t xml:space="preserve">третьем</w:t>
        </w:r>
      </w:hyperlink>
      <w:r>
        <w:rPr>
          <w:sz w:val="20"/>
        </w:rPr>
        <w:t xml:space="preserve"> настоящего пункта, - 20% часовой ставки, рассчитанной исходя из должностного оклада (оклада), за каждый час работы в ночное время.</w:t>
      </w:r>
    </w:p>
    <w:p>
      <w:pPr>
        <w:pStyle w:val="0"/>
        <w:spacing w:before="200" w:line-rule="auto"/>
        <w:ind w:firstLine="540"/>
        <w:jc w:val="both"/>
      </w:pPr>
      <w:r>
        <w:rPr>
          <w:sz w:val="20"/>
        </w:rPr>
        <w:t xml:space="preserve">Ночным считается время с 22 часов до 6 часов.</w:t>
      </w:r>
    </w:p>
    <w:p>
      <w:pPr>
        <w:pStyle w:val="0"/>
        <w:spacing w:before="200" w:line-rule="auto"/>
        <w:ind w:firstLine="540"/>
        <w:jc w:val="both"/>
      </w:pPr>
      <w:r>
        <w:rPr>
          <w:sz w:val="20"/>
        </w:rPr>
        <w:t xml:space="preserve">3.4. Утратил силу с 1 сентября 2017 года. - </w:t>
      </w:r>
      <w:hyperlink w:history="0" r:id="rId57"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3.5. Надбавка за работу со сведениями, составляющими государственную тайну, устанавливается в соответствии с федеральным законодательством.</w:t>
      </w:r>
    </w:p>
    <w:bookmarkStart w:id="139" w:name="P139"/>
    <w:bookmarkEnd w:id="139"/>
    <w:p>
      <w:pPr>
        <w:pStyle w:val="0"/>
        <w:spacing w:before="200" w:line-rule="auto"/>
        <w:ind w:firstLine="540"/>
        <w:jc w:val="both"/>
      </w:pPr>
      <w:r>
        <w:rPr>
          <w:sz w:val="20"/>
        </w:rPr>
        <w:t xml:space="preserve">3.6. Оплата за сверхурочную работу производится в соответствии со </w:t>
      </w:r>
      <w:hyperlink w:history="0" r:id="rId5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статьей 152</w:t>
        </w:r>
      </w:hyperlink>
      <w:r>
        <w:rPr>
          <w:sz w:val="20"/>
        </w:rPr>
        <w:t xml:space="preserve"> ТК РФ и </w:t>
      </w:r>
      <w:hyperlink w:history="0" r:id="rId59" w:tooltip="Постановление Конституционного Суда РФ от 27.06.2023 N 35-П &quot;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мере повышения оплаты труда за работу в ночное время&quot; в связи с жалобой гражданина С.А. Иваниченко&quot; {КонсультантПлюс}">
        <w:r>
          <w:rPr>
            <w:sz w:val="20"/>
            <w:color w:val="0000ff"/>
          </w:rPr>
          <w:t xml:space="preserve">постановлением</w:t>
        </w:r>
      </w:hyperlink>
      <w:r>
        <w:rPr>
          <w:sz w:val="20"/>
        </w:rPr>
        <w:t xml:space="preserve"> Конституционного Суда Российской Федерации от 27.06.2023 N 35-П.</w:t>
      </w:r>
    </w:p>
    <w:p>
      <w:pPr>
        <w:pStyle w:val="0"/>
        <w:jc w:val="both"/>
      </w:pPr>
      <w:r>
        <w:rPr>
          <w:sz w:val="20"/>
        </w:rPr>
        <w:t xml:space="preserve">(в ред. </w:t>
      </w:r>
      <w:hyperlink w:history="0" r:id="rId60"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Если сверхурочная работа производилась во вредных и (или) опасных условиях труда, то помимо оплаты за сверхурочную работу, предусмотренной </w:t>
      </w:r>
      <w:hyperlink w:history="0" w:anchor="P139" w:tooltip="3.6. Оплата за сверхурочную работу производится в соответствии со статьей 152 ТК РФ и постановлением Конституционного Суда Российской Федерации от 27.06.2023 N 35-П.">
        <w:r>
          <w:rPr>
            <w:sz w:val="20"/>
            <w:color w:val="0000ff"/>
          </w:rPr>
          <w:t xml:space="preserve">абзацем первым</w:t>
        </w:r>
      </w:hyperlink>
      <w:r>
        <w:rPr>
          <w:sz w:val="20"/>
        </w:rPr>
        <w:t xml:space="preserve"> настоящего пункта, производится доплата за каждый час работы во вредных и (или) опасных условиях труда.</w:t>
      </w:r>
    </w:p>
    <w:p>
      <w:pPr>
        <w:pStyle w:val="0"/>
        <w:spacing w:before="200" w:line-rule="auto"/>
        <w:ind w:firstLine="540"/>
        <w:jc w:val="both"/>
      </w:pPr>
      <w:r>
        <w:rPr>
          <w:sz w:val="20"/>
        </w:rPr>
        <w:t xml:space="preserve">Доплата за сверхурочную работу во вредных и (или) опасных условиях труда осуществляется с учетом соблюдения положений </w:t>
      </w:r>
      <w:hyperlink w:history="0" w:anchor="P121" w:tooltip="3.2. Доплата за работу с вредными и (или) опасными условиями труда устанавливается в соответствии с ТК РФ, Федеральным законом &quot;О специальной оценке условий труда&quot; и Федеральным законом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w:r>
          <w:rPr>
            <w:sz w:val="20"/>
            <w:color w:val="0000ff"/>
          </w:rPr>
          <w:t xml:space="preserve">пункта 3.2</w:t>
        </w:r>
      </w:hyperlink>
      <w:r>
        <w:rPr>
          <w:sz w:val="20"/>
        </w:rPr>
        <w:t xml:space="preserve"> настоящего Положения.</w:t>
      </w:r>
    </w:p>
    <w:p>
      <w:pPr>
        <w:pStyle w:val="0"/>
        <w:spacing w:before="200" w:line-rule="auto"/>
        <w:ind w:firstLine="540"/>
        <w:jc w:val="both"/>
      </w:pPr>
      <w:r>
        <w:rPr>
          <w:sz w:val="20"/>
        </w:rPr>
        <w:t xml:space="preserve">3.7. Оплата за работу в выходные и нерабочие праздничные дни производится в соответствии со </w:t>
      </w:r>
      <w:hyperlink w:history="0" r:id="rId6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статьей 153</w:t>
        </w:r>
      </w:hyperlink>
      <w:r>
        <w:rPr>
          <w:sz w:val="20"/>
        </w:rPr>
        <w:t xml:space="preserve"> ТК РФ.</w:t>
      </w:r>
    </w:p>
    <w:p>
      <w:pPr>
        <w:pStyle w:val="0"/>
        <w:spacing w:before="200" w:line-rule="auto"/>
        <w:ind w:firstLine="540"/>
        <w:jc w:val="both"/>
      </w:pPr>
      <w:r>
        <w:rPr>
          <w:sz w:val="20"/>
        </w:rPr>
        <w:t xml:space="preserve">3.8. Размер часовой ставки при расчете оплаты за работу в ночное время, доплат за работу с вредными и (или) опасными условиями труда при сверхурочной работе и минимальный размер часовой ставки при расчете оплаты за сверхурочную работу, работу в выходные и нерабочие праздничные дни определяется путем деления должностного оклада (оклада) по занимаемой должности (профессии)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w:t>
      </w:r>
    </w:p>
    <w:p>
      <w:pPr>
        <w:pStyle w:val="0"/>
        <w:jc w:val="both"/>
      </w:pPr>
      <w:r>
        <w:rPr>
          <w:sz w:val="20"/>
        </w:rPr>
        <w:t xml:space="preserve">(в ред. </w:t>
      </w:r>
      <w:hyperlink w:history="0" r:id="rId62"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Конкретный размер часовой ставки при расчете оплаты за работу в выходные и нерабочие праздничные дни, за сверхурочную работу устанавливается коллективным договором, локальным нормативным актом, принимаемым с учетом мнения представительного органа работников, и включает в себя наряду с минимальным размером часовой ставки компенсационные и стимулирующие выплаты.</w:t>
      </w:r>
    </w:p>
    <w:p>
      <w:pPr>
        <w:pStyle w:val="0"/>
        <w:jc w:val="both"/>
      </w:pPr>
      <w:r>
        <w:rPr>
          <w:sz w:val="20"/>
        </w:rPr>
        <w:t xml:space="preserve">(в ред. Постановлений Правительства Самарской области от 22.05.2019 </w:t>
      </w:r>
      <w:hyperlink w:history="0" r:id="rId63"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333</w:t>
        </w:r>
      </w:hyperlink>
      <w:r>
        <w:rPr>
          <w:sz w:val="20"/>
        </w:rPr>
        <w:t xml:space="preserve">, от 25.10.2023 </w:t>
      </w:r>
      <w:hyperlink w:history="0" r:id="rId64"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853</w:t>
        </w:r>
      </w:hyperlink>
      <w:r>
        <w:rPr>
          <w:sz w:val="20"/>
        </w:rPr>
        <w:t xml:space="preserve">)</w:t>
      </w:r>
    </w:p>
    <w:p>
      <w:pPr>
        <w:pStyle w:val="0"/>
        <w:spacing w:before="200" w:line-rule="auto"/>
        <w:ind w:firstLine="540"/>
        <w:jc w:val="both"/>
      </w:pPr>
      <w:r>
        <w:rPr>
          <w:sz w:val="20"/>
        </w:rPr>
        <w:t xml:space="preserve">3.9. При совмещении должностей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0"/>
        <w:spacing w:before="200" w:line-rule="auto"/>
        <w:ind w:firstLine="540"/>
        <w:jc w:val="both"/>
      </w:pPr>
      <w:r>
        <w:rPr>
          <w:sz w:val="20"/>
        </w:rPr>
        <w:t xml:space="preserve">Размер доплаты устанавливается по соглашению сторон трудового договора с учетом содержания и (или) объема дополнительной работы в соответствии со </w:t>
      </w:r>
      <w:hyperlink w:history="0" r:id="rId6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статьями 60.2</w:t>
        </w:r>
      </w:hyperlink>
      <w:r>
        <w:rPr>
          <w:sz w:val="20"/>
        </w:rPr>
        <w:t xml:space="preserve">, </w:t>
      </w:r>
      <w:hyperlink w:history="0" r:id="rId66" w:tooltip="&quot;Трудовой кодекс Российской Федерации&quot; от 30.12.2001 N 197-ФЗ (ред. от 25.12.2023) (с изм. и доп., вступ. в силу с 01.01.2024) {КонсультантПлюс}">
        <w:r>
          <w:rPr>
            <w:sz w:val="20"/>
            <w:color w:val="0000ff"/>
          </w:rPr>
          <w:t xml:space="preserve">151</w:t>
        </w:r>
      </w:hyperlink>
      <w:r>
        <w:rPr>
          <w:sz w:val="20"/>
        </w:rPr>
        <w:t xml:space="preserve"> ТК РФ.</w:t>
      </w:r>
    </w:p>
    <w:p>
      <w:pPr>
        <w:pStyle w:val="0"/>
        <w:spacing w:before="200" w:line-rule="auto"/>
        <w:ind w:firstLine="540"/>
        <w:jc w:val="both"/>
      </w:pPr>
      <w:r>
        <w:rPr>
          <w:sz w:val="20"/>
        </w:rPr>
        <w:t xml:space="preserve">3.10. Руководителям и специалистам учреждений, выполняющим обязанности главных внештатных специалистов министерства здравоохранения Самарской области, устанавливается доплата в размере 10% должностного оклада.</w:t>
      </w:r>
    </w:p>
    <w:p>
      <w:pPr>
        <w:pStyle w:val="0"/>
        <w:spacing w:before="200" w:line-rule="auto"/>
        <w:ind w:firstLine="540"/>
        <w:jc w:val="both"/>
      </w:pPr>
      <w:r>
        <w:rPr>
          <w:sz w:val="20"/>
        </w:rPr>
        <w:t xml:space="preserve">3.11. Доплата за оказание медицинской помощи (участие в оказании, обеспечении оказания медицинской помощи) по диагностике и лечению новой коронавирусной инфекции (COVID-19) устанавливается в размере 25 процентов должностного оклада:</w:t>
      </w:r>
    </w:p>
    <w:p>
      <w:pPr>
        <w:pStyle w:val="0"/>
        <w:spacing w:before="200" w:line-rule="auto"/>
        <w:ind w:firstLine="540"/>
        <w:jc w:val="both"/>
      </w:pPr>
      <w:r>
        <w:rPr>
          <w:sz w:val="20"/>
        </w:rPr>
        <w:t xml:space="preserve">врачам и медицинским работникам с высшим (немедицинским) образованием, оказывающим специализированную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медицинской помощи в стационарных условиях;</w:t>
      </w:r>
    </w:p>
    <w:p>
      <w:pPr>
        <w:pStyle w:val="0"/>
        <w:spacing w:before="200" w:line-rule="auto"/>
        <w:ind w:firstLine="540"/>
        <w:jc w:val="both"/>
      </w:pPr>
      <w:r>
        <w:rPr>
          <w:sz w:val="20"/>
        </w:rPr>
        <w:t xml:space="preserve">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pPr>
        <w:pStyle w:val="0"/>
        <w:spacing w:before="200" w:line-rule="auto"/>
        <w:ind w:firstLine="540"/>
        <w:jc w:val="both"/>
      </w:pPr>
      <w:r>
        <w:rPr>
          <w:sz w:val="20"/>
        </w:rPr>
        <w:t xml:space="preserve">Перечень конкретных должностей работников, непосредственно оказывающих медицинскую помощь по диагностике и лечению новой коронавирусной инфекции (COVID-19) пациентам, в том числе осуществляющих отбор биологического материала для лабораторных исследований на наличие новой коронавирусной инфекции (COVID-19), которым устанавливается доплата за оказание медицинской помощи (участие в оказании, обеспечении оказания медицинской помощи) по диагностике и лечению новой коронавирусной инфекции (COVID-19), утверждается руководителем учреждения.</w:t>
      </w:r>
    </w:p>
    <w:p>
      <w:pPr>
        <w:pStyle w:val="0"/>
        <w:spacing w:before="200" w:line-rule="auto"/>
        <w:ind w:firstLine="540"/>
        <w:jc w:val="both"/>
      </w:pPr>
      <w:r>
        <w:rPr>
          <w:sz w:val="20"/>
        </w:rPr>
        <w:t xml:space="preserve">Доплата за оказание медицинской помощи (участие в оказании, обеспечении оказания медицинской помощи) по диагностике и лечению новой коронавирусной инфекции (COVID-19) начисляется ежемесячно к должностному окладу, рассчитанному за фактически отработанное время.</w:t>
      </w:r>
    </w:p>
    <w:p>
      <w:pPr>
        <w:pStyle w:val="0"/>
        <w:spacing w:before="200" w:line-rule="auto"/>
        <w:ind w:firstLine="540"/>
        <w:jc w:val="both"/>
      </w:pPr>
      <w:r>
        <w:rPr>
          <w:sz w:val="20"/>
        </w:rPr>
        <w:t xml:space="preserve">Доплата за оказание медицинской помощи (участие в оказании, обеспечении оказания медицинской помощи) по диагностике и лечению новой коронавирусной инфекции (COVID-19) начисляется отдельно по основной работе и работе по совместительству.</w:t>
      </w:r>
    </w:p>
    <w:p>
      <w:pPr>
        <w:pStyle w:val="0"/>
        <w:spacing w:before="200" w:line-rule="auto"/>
        <w:ind w:firstLine="540"/>
        <w:jc w:val="both"/>
      </w:pPr>
      <w:r>
        <w:rPr>
          <w:sz w:val="20"/>
        </w:rPr>
        <w:t xml:space="preserve">Доплата за оказание медицинской помощи (участие в оказании, обеспечении оказания медицинской помощи) по диагностике и лечению новой коронавирусной инфекции (COVID-19) осуществляется за счет фонда оплаты труда учреждения, сформированного за счет всех источников.</w:t>
      </w:r>
    </w:p>
    <w:p>
      <w:pPr>
        <w:pStyle w:val="0"/>
        <w:jc w:val="both"/>
      </w:pPr>
      <w:r>
        <w:rPr>
          <w:sz w:val="20"/>
        </w:rPr>
        <w:t xml:space="preserve">(п. 3.11 введен </w:t>
      </w:r>
      <w:hyperlink w:history="0" r:id="rId67" w:tooltip="Постановление Правительства Самарской области от 21.09.2022 N 786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21.09.2022 N 786)</w:t>
      </w:r>
    </w:p>
    <w:p>
      <w:pPr>
        <w:pStyle w:val="0"/>
        <w:jc w:val="both"/>
      </w:pPr>
      <w:r>
        <w:rPr>
          <w:sz w:val="20"/>
        </w:rPr>
      </w:r>
    </w:p>
    <w:bookmarkStart w:id="160" w:name="P160"/>
    <w:bookmarkEnd w:id="160"/>
    <w:p>
      <w:pPr>
        <w:pStyle w:val="2"/>
        <w:outlineLvl w:val="1"/>
        <w:jc w:val="center"/>
      </w:pPr>
      <w:r>
        <w:rPr>
          <w:sz w:val="20"/>
        </w:rPr>
        <w:t xml:space="preserve">4. Выплаты стимулирующего характера</w:t>
      </w:r>
    </w:p>
    <w:p>
      <w:pPr>
        <w:pStyle w:val="0"/>
        <w:jc w:val="center"/>
      </w:pPr>
      <w:r>
        <w:rPr>
          <w:sz w:val="20"/>
        </w:rPr>
        <w:t xml:space="preserve">(в ред. </w:t>
      </w:r>
      <w:hyperlink w:history="0" r:id="rId68"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27.06.2017 N 408)</w:t>
      </w:r>
    </w:p>
    <w:p>
      <w:pPr>
        <w:pStyle w:val="0"/>
        <w:jc w:val="both"/>
      </w:pPr>
      <w:r>
        <w:rPr>
          <w:sz w:val="20"/>
        </w:rPr>
      </w:r>
    </w:p>
    <w:p>
      <w:pPr>
        <w:pStyle w:val="0"/>
        <w:ind w:firstLine="540"/>
        <w:jc w:val="both"/>
      </w:pPr>
      <w:r>
        <w:rPr>
          <w:sz w:val="20"/>
        </w:rPr>
        <w:t xml:space="preserve">4.1. В целях повышения материальной заинтересованности в результатах труда работникам учреждений производятся выплаты стимулирующего характера.</w:t>
      </w:r>
    </w:p>
    <w:p>
      <w:pPr>
        <w:pStyle w:val="0"/>
        <w:spacing w:before="200" w:line-rule="auto"/>
        <w:ind w:firstLine="540"/>
        <w:jc w:val="both"/>
      </w:pPr>
      <w:r>
        <w:rPr>
          <w:sz w:val="20"/>
        </w:rPr>
        <w:t xml:space="preserve">4.2. Порядок, условия и размеры выплат стимулирующего характера устанавливаются коллективными договорами, соглашениями, локальными нормативными актами учреждения с учетом мнения представительного органа работников.</w:t>
      </w:r>
    </w:p>
    <w:p>
      <w:pPr>
        <w:pStyle w:val="0"/>
        <w:spacing w:before="200" w:line-rule="auto"/>
        <w:ind w:firstLine="540"/>
        <w:jc w:val="both"/>
      </w:pPr>
      <w:r>
        <w:rPr>
          <w:sz w:val="20"/>
        </w:rPr>
        <w:t xml:space="preserve">4.3. На выплаты стимулирующего характера направляются средства областного бюджета, средства обязательного медицинского страхования и средства, полученные от приносящей доход деятельности.</w:t>
      </w:r>
    </w:p>
    <w:bookmarkStart w:id="167" w:name="P167"/>
    <w:bookmarkEnd w:id="167"/>
    <w:p>
      <w:pPr>
        <w:pStyle w:val="0"/>
        <w:spacing w:before="200" w:line-rule="auto"/>
        <w:ind w:firstLine="540"/>
        <w:jc w:val="both"/>
      </w:pPr>
      <w:r>
        <w:rPr>
          <w:sz w:val="20"/>
        </w:rPr>
        <w:t xml:space="preserve">4.4. Работникам учреждений устанавливается ежемесячная доплата за выполнение показателей оценки эффективности деятельности. Показатели и критерии оценки эффективности деятельности работников для установления ежемесячной доплаты утверждаются локальными нормативными актами учреждения, принимаемыми с учетом мнения представительного органа работников.</w:t>
      </w:r>
    </w:p>
    <w:bookmarkStart w:id="168" w:name="P168"/>
    <w:bookmarkEnd w:id="168"/>
    <w:p>
      <w:pPr>
        <w:pStyle w:val="0"/>
        <w:spacing w:before="200" w:line-rule="auto"/>
        <w:ind w:firstLine="540"/>
        <w:jc w:val="both"/>
      </w:pPr>
      <w:r>
        <w:rPr>
          <w:sz w:val="20"/>
        </w:rPr>
        <w:t xml:space="preserve">4.5. По итогам работы (за месяц, квартал, год) может производиться премирование работников учреждения.</w:t>
      </w:r>
    </w:p>
    <w:p>
      <w:pPr>
        <w:pStyle w:val="0"/>
        <w:spacing w:before="200" w:line-rule="auto"/>
        <w:ind w:firstLine="540"/>
        <w:jc w:val="both"/>
      </w:pPr>
      <w:r>
        <w:rPr>
          <w:sz w:val="20"/>
        </w:rPr>
        <w:t xml:space="preserve">Показатели и критерии оценки результатов работы для решения вопроса о премировании работников устанавливаются локальными нормативными актами учреждения, принимаемыми с учетом мнения представительного органа работников.</w:t>
      </w:r>
    </w:p>
    <w:p>
      <w:pPr>
        <w:pStyle w:val="0"/>
        <w:spacing w:before="200" w:line-rule="auto"/>
        <w:ind w:firstLine="540"/>
        <w:jc w:val="both"/>
      </w:pPr>
      <w:r>
        <w:rPr>
          <w:sz w:val="20"/>
        </w:rPr>
        <w:t xml:space="preserve">Конкретный размер премии может быть определен как в процентах к должностному окладу (окладу) работника учреждения, так и в абсолютном размере.</w:t>
      </w:r>
    </w:p>
    <w:bookmarkStart w:id="171" w:name="P171"/>
    <w:bookmarkEnd w:id="171"/>
    <w:p>
      <w:pPr>
        <w:pStyle w:val="0"/>
        <w:spacing w:before="200" w:line-rule="auto"/>
        <w:ind w:firstLine="540"/>
        <w:jc w:val="both"/>
      </w:pPr>
      <w:r>
        <w:rPr>
          <w:sz w:val="20"/>
        </w:rPr>
        <w:t xml:space="preserve">4.6. Работникам учреждений могут выплачиваться единовременные премии:</w:t>
      </w:r>
    </w:p>
    <w:p>
      <w:pPr>
        <w:pStyle w:val="0"/>
        <w:spacing w:before="200" w:line-rule="auto"/>
        <w:ind w:firstLine="540"/>
        <w:jc w:val="both"/>
      </w:pPr>
      <w:r>
        <w:rPr>
          <w:sz w:val="20"/>
        </w:rPr>
        <w:t xml:space="preserve">за выполнение особо важных и срочных работ;</w:t>
      </w:r>
    </w:p>
    <w:p>
      <w:pPr>
        <w:pStyle w:val="0"/>
        <w:spacing w:before="200" w:line-rule="auto"/>
        <w:ind w:firstLine="540"/>
        <w:jc w:val="both"/>
      </w:pPr>
      <w:r>
        <w:rPr>
          <w:sz w:val="20"/>
        </w:rPr>
        <w:t xml:space="preserve">при награждении государственными наградами Российской Федерации - в размере 2 должностных окладов (окладов), ведомственными наградами Министерства здравоохранения Российской Федерации и Почетной грамотой министерства здравоохранения Самарской области - в размере 1 должностного оклада (оклада);</w:t>
      </w:r>
    </w:p>
    <w:p>
      <w:pPr>
        <w:pStyle w:val="0"/>
        <w:spacing w:before="200" w:line-rule="auto"/>
        <w:ind w:firstLine="540"/>
        <w:jc w:val="both"/>
      </w:pPr>
      <w:r>
        <w:rPr>
          <w:sz w:val="20"/>
        </w:rPr>
        <w:t xml:space="preserve">к профессиональному празднику "День медицинского работника";</w:t>
      </w:r>
    </w:p>
    <w:p>
      <w:pPr>
        <w:pStyle w:val="0"/>
        <w:spacing w:before="200" w:line-rule="auto"/>
        <w:ind w:firstLine="540"/>
        <w:jc w:val="both"/>
      </w:pPr>
      <w:r>
        <w:rPr>
          <w:sz w:val="20"/>
        </w:rPr>
        <w:t xml:space="preserve">при присуждении ученой степени (по профилю работы) доктора наук - в размере 3 должностных окладов (окладов);</w:t>
      </w:r>
    </w:p>
    <w:p>
      <w:pPr>
        <w:pStyle w:val="0"/>
        <w:spacing w:before="200" w:line-rule="auto"/>
        <w:ind w:firstLine="540"/>
        <w:jc w:val="both"/>
      </w:pPr>
      <w:r>
        <w:rPr>
          <w:sz w:val="20"/>
        </w:rPr>
        <w:t xml:space="preserve">при присуждении ученой степени (по профилю работы) кандидата наук - в размере 2 должностных окладов (окладов).</w:t>
      </w:r>
    </w:p>
    <w:p>
      <w:pPr>
        <w:pStyle w:val="0"/>
        <w:spacing w:before="200" w:line-rule="auto"/>
        <w:ind w:firstLine="540"/>
        <w:jc w:val="both"/>
      </w:pPr>
      <w:r>
        <w:rPr>
          <w:sz w:val="20"/>
        </w:rPr>
        <w:t xml:space="preserve">Выплата единовременной премии при присуждении ученой степени и награждении государственными наградами Российской Федерации производится работникам по основному месту работы, а также совместителям в случае, если по основному месту работы выплата указанной премии не производилась.</w:t>
      </w:r>
    </w:p>
    <w:p>
      <w:pPr>
        <w:pStyle w:val="0"/>
        <w:spacing w:before="200" w:line-rule="auto"/>
        <w:ind w:firstLine="540"/>
        <w:jc w:val="both"/>
      </w:pPr>
      <w:r>
        <w:rPr>
          <w:sz w:val="20"/>
        </w:rPr>
        <w:t xml:space="preserve">Конкретный размер премии может быть определен как в процентах к должностному окладу (окладу) работника учреждения, так и в абсолютном размере.</w:t>
      </w:r>
    </w:p>
    <w:p>
      <w:pPr>
        <w:pStyle w:val="0"/>
        <w:spacing w:before="200" w:line-rule="auto"/>
        <w:ind w:firstLine="540"/>
        <w:jc w:val="both"/>
      </w:pPr>
      <w:r>
        <w:rPr>
          <w:sz w:val="20"/>
        </w:rPr>
        <w:t xml:space="preserve">Локальным нормативным актом учреждения могут быть предусмотрены иные основания для выплат единовременных премий за счет средств, полученных от приносящей доход деятельности.</w:t>
      </w:r>
    </w:p>
    <w:p>
      <w:pPr>
        <w:pStyle w:val="0"/>
        <w:spacing w:before="200" w:line-rule="auto"/>
        <w:ind w:firstLine="540"/>
        <w:jc w:val="both"/>
      </w:pPr>
      <w:r>
        <w:rPr>
          <w:sz w:val="20"/>
        </w:rPr>
        <w:t xml:space="preserve">4.7. Премирование работников, предусмотренное </w:t>
      </w:r>
      <w:hyperlink w:history="0" w:anchor="P168" w:tooltip="4.5. По итогам работы (за месяц, квартал, год) может производиться премирование работников учреждения.">
        <w:r>
          <w:rPr>
            <w:sz w:val="20"/>
            <w:color w:val="0000ff"/>
          </w:rPr>
          <w:t xml:space="preserve">пунктами 4.5</w:t>
        </w:r>
      </w:hyperlink>
      <w:r>
        <w:rPr>
          <w:sz w:val="20"/>
        </w:rPr>
        <w:t xml:space="preserve"> и </w:t>
      </w:r>
      <w:hyperlink w:history="0" w:anchor="P171" w:tooltip="4.6. Работникам учреждений могут выплачиваться единовременные премии:">
        <w:r>
          <w:rPr>
            <w:sz w:val="20"/>
            <w:color w:val="0000ff"/>
          </w:rPr>
          <w:t xml:space="preserve">4.6</w:t>
        </w:r>
      </w:hyperlink>
      <w:r>
        <w:rPr>
          <w:sz w:val="20"/>
        </w:rPr>
        <w:t xml:space="preserve"> настоящего Положения, производится на основании приказа (распоряжения) руководителя учреждения.</w:t>
      </w:r>
    </w:p>
    <w:p>
      <w:pPr>
        <w:pStyle w:val="0"/>
        <w:spacing w:before="200" w:line-rule="auto"/>
        <w:ind w:firstLine="540"/>
        <w:jc w:val="both"/>
      </w:pPr>
      <w:r>
        <w:rPr>
          <w:sz w:val="20"/>
        </w:rPr>
        <w:t xml:space="preserve">4.8. Работникам учреждений может устанавливаться надбавка за интенсивность работы. Надбавка за интенсивность работы устанавливается приказом руководителя учреждения сроком не более чем на один календарный год.</w:t>
      </w:r>
    </w:p>
    <w:p>
      <w:pPr>
        <w:pStyle w:val="0"/>
        <w:spacing w:before="200" w:line-rule="auto"/>
        <w:ind w:firstLine="540"/>
        <w:jc w:val="both"/>
      </w:pPr>
      <w:r>
        <w:rPr>
          <w:sz w:val="20"/>
        </w:rPr>
        <w:t xml:space="preserve">Размер надбавки устанавливается с учетом объема работы, требующей высокой напряженности труда, систематического выполнения срочных и неотложных поручений, а также работ, требующих повышенного внимания.</w:t>
      </w:r>
    </w:p>
    <w:p>
      <w:pPr>
        <w:pStyle w:val="0"/>
        <w:spacing w:before="200" w:line-rule="auto"/>
        <w:ind w:firstLine="540"/>
        <w:jc w:val="both"/>
      </w:pPr>
      <w:r>
        <w:rPr>
          <w:sz w:val="20"/>
        </w:rPr>
        <w:t xml:space="preserve">Надбавка за интенсивность работы устанавливается как в процентах к должностному окладу (окладу), так и в абсолютном размере и не может превышать 200% от должностного оклада (оклада) в месяц.</w:t>
      </w:r>
    </w:p>
    <w:p>
      <w:pPr>
        <w:pStyle w:val="0"/>
        <w:jc w:val="both"/>
      </w:pPr>
      <w:r>
        <w:rPr>
          <w:sz w:val="20"/>
        </w:rPr>
        <w:t xml:space="preserve">(в ред. </w:t>
      </w:r>
      <w:hyperlink w:history="0" r:id="rId69"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bookmarkStart w:id="185" w:name="P185"/>
    <w:bookmarkEnd w:id="185"/>
    <w:p>
      <w:pPr>
        <w:pStyle w:val="0"/>
        <w:spacing w:before="200" w:line-rule="auto"/>
        <w:ind w:firstLine="540"/>
        <w:jc w:val="both"/>
      </w:pPr>
      <w:r>
        <w:rPr>
          <w:sz w:val="20"/>
        </w:rPr>
        <w:t xml:space="preserve">4.9. Надбавка за наличие квалификационной категории устанавливается:</w:t>
      </w:r>
    </w:p>
    <w:p>
      <w:pPr>
        <w:pStyle w:val="0"/>
        <w:spacing w:before="200" w:line-rule="auto"/>
        <w:ind w:firstLine="540"/>
        <w:jc w:val="both"/>
      </w:pPr>
      <w:r>
        <w:rPr>
          <w:sz w:val="20"/>
        </w:rPr>
        <w:t xml:space="preserve">медицинским и фармацевтическим работникам, а также иным работникам учреждений, занятым в сфере здравоохранения, в отношении которых министерством здравоохранения Самарской области проводится аттестация на присвоение квалификационных категорий - при условии их работы по специальности, по которой присвоена квалификационная категория;</w:t>
      </w:r>
    </w:p>
    <w:p>
      <w:pPr>
        <w:pStyle w:val="0"/>
        <w:jc w:val="both"/>
      </w:pPr>
      <w:r>
        <w:rPr>
          <w:sz w:val="20"/>
        </w:rPr>
        <w:t xml:space="preserve">(в ред. </w:t>
      </w:r>
      <w:hyperlink w:history="0" r:id="rId70"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врачам - руководителям структурных подразделений - в случае, если специальность, по которой им присвоена квалификационная категория, соответствует профилю возглавляемого подразделения;</w:t>
      </w:r>
    </w:p>
    <w:p>
      <w:pPr>
        <w:pStyle w:val="0"/>
        <w:spacing w:before="200" w:line-rule="auto"/>
        <w:ind w:firstLine="540"/>
        <w:jc w:val="both"/>
      </w:pPr>
      <w:r>
        <w:rPr>
          <w:sz w:val="20"/>
        </w:rPr>
        <w:t xml:space="preserve">руководителям учреждений - при наличии квалификационной категории по специальности "Организация здравоохранения и общественное здоровье", заместителям руководителей учреждений - при наличии квалификационной категории по специальности "Организация здравоохранения и общественное здоровье" и "Управление сестринской деятельностью";</w:t>
      </w:r>
    </w:p>
    <w:p>
      <w:pPr>
        <w:pStyle w:val="0"/>
        <w:jc w:val="both"/>
      </w:pPr>
      <w:r>
        <w:rPr>
          <w:sz w:val="20"/>
        </w:rPr>
        <w:t xml:space="preserve">(в ред. </w:t>
      </w:r>
      <w:hyperlink w:history="0" r:id="rId71"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руководителям структурных подразделений фармацевтического профиля - при наличии квалификационной категории по специальности "Управление и экономика фармации" или по фармацевтической специальности;</w:t>
      </w:r>
    </w:p>
    <w:p>
      <w:pPr>
        <w:pStyle w:val="0"/>
        <w:spacing w:before="200" w:line-rule="auto"/>
        <w:ind w:firstLine="540"/>
        <w:jc w:val="both"/>
      </w:pPr>
      <w:r>
        <w:rPr>
          <w:sz w:val="20"/>
        </w:rPr>
        <w:t xml:space="preserve">главной медицинской сестре, руководителям (со средним медицинским образованием) молочной кухни, хосписа, больницы (дома) сестринского ухода - при наличии квалификационной категории по любой специальности среднего медицинского персонала лечебно-профилактического учреждения.</w:t>
      </w:r>
    </w:p>
    <w:p>
      <w:pPr>
        <w:pStyle w:val="0"/>
        <w:spacing w:before="200" w:line-rule="auto"/>
        <w:ind w:firstLine="540"/>
        <w:jc w:val="both"/>
      </w:pPr>
      <w:r>
        <w:rPr>
          <w:sz w:val="20"/>
        </w:rPr>
        <w:t xml:space="preserve">Надбавка за наличие квалификационной категории устанавливается в следующих размерах:</w:t>
      </w:r>
    </w:p>
    <w:p>
      <w:pPr>
        <w:pStyle w:val="0"/>
        <w:spacing w:before="200" w:line-rule="auto"/>
        <w:ind w:firstLine="540"/>
        <w:jc w:val="both"/>
      </w:pPr>
      <w:r>
        <w:rPr>
          <w:sz w:val="20"/>
        </w:rPr>
        <w:t xml:space="preserve">при наличии высшей квалификационной категории - 20% от должностного оклада;</w:t>
      </w:r>
    </w:p>
    <w:p>
      <w:pPr>
        <w:pStyle w:val="0"/>
        <w:jc w:val="both"/>
      </w:pPr>
      <w:r>
        <w:rPr>
          <w:sz w:val="20"/>
        </w:rPr>
        <w:t xml:space="preserve">(в ред. </w:t>
      </w:r>
      <w:hyperlink w:history="0" r:id="rId72"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при наличии первой квалификационной категории - 15% от должностного оклада;</w:t>
      </w:r>
    </w:p>
    <w:p>
      <w:pPr>
        <w:pStyle w:val="0"/>
        <w:jc w:val="both"/>
      </w:pPr>
      <w:r>
        <w:rPr>
          <w:sz w:val="20"/>
        </w:rPr>
        <w:t xml:space="preserve">(в ред. </w:t>
      </w:r>
      <w:hyperlink w:history="0" r:id="rId73"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при наличии второй квалификационной категории - 10% от должностного оклада.</w:t>
      </w:r>
    </w:p>
    <w:p>
      <w:pPr>
        <w:pStyle w:val="0"/>
        <w:jc w:val="both"/>
      </w:pPr>
      <w:r>
        <w:rPr>
          <w:sz w:val="20"/>
        </w:rPr>
        <w:t xml:space="preserve">(в ред. </w:t>
      </w:r>
      <w:hyperlink w:history="0" r:id="rId74"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Надбавка за наличие квалификационной категории устанавливается приказом (распоряжением) руководителя учреждения со дня издания распорядительного акта о присвоении (подтверждении) квалификационной категории.</w:t>
      </w:r>
    </w:p>
    <w:bookmarkStart w:id="201" w:name="P201"/>
    <w:bookmarkEnd w:id="201"/>
    <w:p>
      <w:pPr>
        <w:pStyle w:val="0"/>
        <w:spacing w:before="200" w:line-rule="auto"/>
        <w:ind w:firstLine="540"/>
        <w:jc w:val="both"/>
      </w:pPr>
      <w:r>
        <w:rPr>
          <w:sz w:val="20"/>
        </w:rPr>
        <w:t xml:space="preserve">4.10. Надбавка за выслугу лет устанавливается в соответствии с </w:t>
      </w:r>
      <w:hyperlink w:history="0" w:anchor="P769" w:tooltip="ПОЛОЖЕНИЕ">
        <w:r>
          <w:rPr>
            <w:sz w:val="20"/>
            <w:color w:val="0000ff"/>
          </w:rPr>
          <w:t xml:space="preserve">Положением</w:t>
        </w:r>
      </w:hyperlink>
      <w:r>
        <w:rPr>
          <w:sz w:val="20"/>
        </w:rPr>
        <w:t xml:space="preserve"> о порядке установления и выплаты надбавки за выслугу лет работникам учреждений (приложение 7 к настоящему Положению).</w:t>
      </w:r>
    </w:p>
    <w:p>
      <w:pPr>
        <w:pStyle w:val="0"/>
        <w:spacing w:before="200" w:line-rule="auto"/>
        <w:ind w:firstLine="540"/>
        <w:jc w:val="both"/>
      </w:pPr>
      <w:r>
        <w:rPr>
          <w:sz w:val="20"/>
        </w:rPr>
        <w:t xml:space="preserve">4.11. Водителям автомобиля устанавливается надбавка за классность:</w:t>
      </w:r>
    </w:p>
    <w:p>
      <w:pPr>
        <w:pStyle w:val="0"/>
        <w:spacing w:before="200" w:line-rule="auto"/>
        <w:ind w:firstLine="540"/>
        <w:jc w:val="both"/>
      </w:pPr>
      <w:r>
        <w:rPr>
          <w:sz w:val="20"/>
        </w:rPr>
        <w:t xml:space="preserve">за 1 класс - в размере 25% от оклада;</w:t>
      </w:r>
    </w:p>
    <w:p>
      <w:pPr>
        <w:pStyle w:val="0"/>
        <w:spacing w:before="200" w:line-rule="auto"/>
        <w:ind w:firstLine="540"/>
        <w:jc w:val="both"/>
      </w:pPr>
      <w:r>
        <w:rPr>
          <w:sz w:val="20"/>
        </w:rPr>
        <w:t xml:space="preserve">за 2 класс - в размере 10% от оклада.</w:t>
      </w:r>
    </w:p>
    <w:p>
      <w:pPr>
        <w:pStyle w:val="0"/>
        <w:spacing w:before="200" w:line-rule="auto"/>
        <w:ind w:firstLine="540"/>
        <w:jc w:val="both"/>
      </w:pPr>
      <w:r>
        <w:rPr>
          <w:sz w:val="20"/>
        </w:rPr>
        <w:t xml:space="preserve">4.12. Работникам учреждений и подразделений скорой медицинской помощи за счет средств обязательного медицинского страхования устанавливаются надбавки: врачу - 5 000 рублей в месяц, фельдшеру - 3 500 рублей в месяц, медицинской сестре - 2 500 рублей в месяц.</w:t>
      </w:r>
    </w:p>
    <w:p>
      <w:pPr>
        <w:pStyle w:val="0"/>
        <w:spacing w:before="200" w:line-rule="auto"/>
        <w:ind w:firstLine="540"/>
        <w:jc w:val="both"/>
      </w:pPr>
      <w:r>
        <w:rPr>
          <w:sz w:val="20"/>
        </w:rPr>
        <w:t xml:space="preserve">Надбавка устанавливается работникам учреждений и подразделений скорой медицинской помощи за фактически отработанное время, но не более чем за одну занимаемую ставку. Работникам учреждений и подразделений скорой медицинской помощи, занимающим менее одной ставки или не отработавшим установленную норму рабочего времени, надбавка устанавливается пропорционально отработанному времени.</w:t>
      </w:r>
    </w:p>
    <w:bookmarkStart w:id="207" w:name="P207"/>
    <w:bookmarkEnd w:id="207"/>
    <w:p>
      <w:pPr>
        <w:pStyle w:val="0"/>
        <w:spacing w:before="200" w:line-rule="auto"/>
        <w:ind w:firstLine="540"/>
        <w:jc w:val="both"/>
      </w:pPr>
      <w:r>
        <w:rPr>
          <w:sz w:val="20"/>
        </w:rPr>
        <w:t xml:space="preserve">4.13. Локальным нормативным актом учреждения для работников учреждения могут быть установлены иные виды выплат стимулирующего характера.</w:t>
      </w:r>
    </w:p>
    <w:p>
      <w:pPr>
        <w:pStyle w:val="0"/>
        <w:jc w:val="both"/>
      </w:pPr>
      <w:r>
        <w:rPr>
          <w:sz w:val="20"/>
        </w:rPr>
      </w:r>
    </w:p>
    <w:bookmarkStart w:id="209" w:name="P209"/>
    <w:bookmarkEnd w:id="209"/>
    <w:p>
      <w:pPr>
        <w:pStyle w:val="2"/>
        <w:outlineLvl w:val="1"/>
        <w:jc w:val="center"/>
      </w:pPr>
      <w:r>
        <w:rPr>
          <w:sz w:val="20"/>
        </w:rPr>
        <w:t xml:space="preserve">5. Условия оплаты труда руководителя учреждения,</w:t>
      </w:r>
    </w:p>
    <w:p>
      <w:pPr>
        <w:pStyle w:val="2"/>
        <w:jc w:val="center"/>
      </w:pPr>
      <w:r>
        <w:rPr>
          <w:sz w:val="20"/>
        </w:rPr>
        <w:t xml:space="preserve">его заместителей и главного бухгалтера учреждения</w:t>
      </w:r>
    </w:p>
    <w:p>
      <w:pPr>
        <w:pStyle w:val="0"/>
        <w:jc w:val="both"/>
      </w:pPr>
      <w:r>
        <w:rPr>
          <w:sz w:val="20"/>
        </w:rPr>
      </w:r>
    </w:p>
    <w:p>
      <w:pPr>
        <w:pStyle w:val="0"/>
        <w:ind w:firstLine="540"/>
        <w:jc w:val="both"/>
      </w:pPr>
      <w:r>
        <w:rPr>
          <w:sz w:val="20"/>
        </w:rPr>
        <w:t xml:space="preserve">5.1. Должностной оклад, выплаты компенсационного и стимулирующего характера руководителю учреждения устанавливаются работодателем.</w:t>
      </w:r>
    </w:p>
    <w:p>
      <w:pPr>
        <w:pStyle w:val="0"/>
        <w:spacing w:before="200" w:line-rule="auto"/>
        <w:ind w:firstLine="540"/>
        <w:jc w:val="both"/>
      </w:pPr>
      <w:r>
        <w:rPr>
          <w:sz w:val="20"/>
        </w:rPr>
        <w:t xml:space="preserve">Должностной оклад, выплаты компенсационного и стимулирующего характера заместителям руководителя, главному бухгалтеру устанавливаются руководителем учреждения.</w:t>
      </w:r>
    </w:p>
    <w:p>
      <w:pPr>
        <w:pStyle w:val="0"/>
        <w:spacing w:before="200" w:line-rule="auto"/>
        <w:ind w:firstLine="540"/>
        <w:jc w:val="both"/>
      </w:pPr>
      <w:r>
        <w:rPr>
          <w:sz w:val="20"/>
        </w:rPr>
        <w:t xml:space="preserve">5.2. </w:t>
      </w:r>
      <w:hyperlink w:history="0" w:anchor="P818" w:tooltip="ДОЛЖНОСТНЫЕ ОКЛАДЫ">
        <w:r>
          <w:rPr>
            <w:sz w:val="20"/>
            <w:color w:val="0000ff"/>
          </w:rPr>
          <w:t xml:space="preserve">Должностной оклад руководителя</w:t>
        </w:r>
      </w:hyperlink>
      <w:r>
        <w:rPr>
          <w:sz w:val="20"/>
        </w:rPr>
        <w:t xml:space="preserve"> учреждения устанавливается в соответствии с показателями отнесения учреждений к группам по оплате труда руководителей (приложение 8 к настоящему Положению).</w:t>
      </w:r>
    </w:p>
    <w:p>
      <w:pPr>
        <w:pStyle w:val="0"/>
        <w:spacing w:before="200" w:line-rule="auto"/>
        <w:ind w:firstLine="540"/>
        <w:jc w:val="both"/>
      </w:pPr>
      <w:hyperlink w:history="0" w:anchor="P850" w:tooltip="ПОКАЗАТЕЛИ">
        <w:r>
          <w:rPr>
            <w:sz w:val="20"/>
            <w:color w:val="0000ff"/>
          </w:rPr>
          <w:t xml:space="preserve">Показатели</w:t>
        </w:r>
      </w:hyperlink>
      <w:r>
        <w:rPr>
          <w:sz w:val="20"/>
        </w:rPr>
        <w:t xml:space="preserve"> отнесения учреждений к группам по оплате труда руководителей учреждения установлены в приложении 9 к настоящему Положению.</w:t>
      </w:r>
    </w:p>
    <w:p>
      <w:pPr>
        <w:pStyle w:val="0"/>
        <w:spacing w:before="200" w:line-rule="auto"/>
        <w:ind w:firstLine="540"/>
        <w:jc w:val="both"/>
      </w:pPr>
      <w:r>
        <w:rPr>
          <w:sz w:val="20"/>
        </w:rPr>
        <w:t xml:space="preserve">Группа по оплате труда руководителю учреждения устанавливается приказом министерства здравоохранения Самарской области.</w:t>
      </w:r>
    </w:p>
    <w:p>
      <w:pPr>
        <w:pStyle w:val="0"/>
        <w:spacing w:before="200" w:line-rule="auto"/>
        <w:ind w:firstLine="540"/>
        <w:jc w:val="both"/>
      </w:pPr>
      <w:r>
        <w:rPr>
          <w:sz w:val="20"/>
        </w:rPr>
        <w:t xml:space="preserve">5.3. Должностные оклады заместителей руководителя, главного бухгалтера учреждения устанавливаются на 10 - 30% ниже должностного оклада руководителя учреждения.</w:t>
      </w:r>
    </w:p>
    <w:p>
      <w:pPr>
        <w:pStyle w:val="0"/>
        <w:spacing w:before="200" w:line-rule="auto"/>
        <w:ind w:firstLine="540"/>
        <w:jc w:val="both"/>
      </w:pPr>
      <w:r>
        <w:rPr>
          <w:sz w:val="20"/>
        </w:rPr>
        <w:t xml:space="preserve">5.4. С учетом условий труда руководителю учреждения, его заместителям и главному бухгалтеру учреждения устанавливаются выплаты компенсационного характера, предусмотренные </w:t>
      </w:r>
      <w:hyperlink w:history="0" w:anchor="P113" w:tooltip="3. Выплаты компенсационного характера">
        <w:r>
          <w:rPr>
            <w:sz w:val="20"/>
            <w:color w:val="0000ff"/>
          </w:rPr>
          <w:t xml:space="preserve">разделом 3</w:t>
        </w:r>
      </w:hyperlink>
      <w:r>
        <w:rPr>
          <w:sz w:val="20"/>
        </w:rPr>
        <w:t xml:space="preserve"> настоящего Положения.</w:t>
      </w:r>
    </w:p>
    <w:p>
      <w:pPr>
        <w:pStyle w:val="0"/>
        <w:jc w:val="both"/>
      </w:pPr>
      <w:r>
        <w:rPr>
          <w:sz w:val="20"/>
        </w:rPr>
        <w:t xml:space="preserve">(в ред. </w:t>
      </w:r>
      <w:hyperlink w:history="0" r:id="rId75" w:tooltip="Постановление Правительства Самарской области от 28.12.2015 N 891 (ред. от 22.05.20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28.12.2015 N 891)</w:t>
      </w:r>
    </w:p>
    <w:p>
      <w:pPr>
        <w:pStyle w:val="0"/>
        <w:spacing w:before="200" w:line-rule="auto"/>
        <w:ind w:firstLine="540"/>
        <w:jc w:val="both"/>
      </w:pPr>
      <w:r>
        <w:rPr>
          <w:sz w:val="20"/>
        </w:rPr>
        <w:t xml:space="preserve">5.5. Руководителю учреждения, его заместителям и главному бухгалтеру учреждения может устанавливаться надбавка за интенсивность работы.</w:t>
      </w:r>
    </w:p>
    <w:p>
      <w:pPr>
        <w:pStyle w:val="0"/>
        <w:spacing w:before="200" w:line-rule="auto"/>
        <w:ind w:firstLine="540"/>
        <w:jc w:val="both"/>
      </w:pPr>
      <w:r>
        <w:rPr>
          <w:sz w:val="20"/>
        </w:rPr>
        <w:t xml:space="preserve">Размер надбавки устанавливается с учетом объема работы, требующей высокой напряженности труда, систематического выполнения срочных и неотложных поручений, а также работ, требующих повышенного внимания. Надбавка за интенсивность работы устанавливается в процентах к должностному окладу (окладу) и не может превышать 200% от должностного оклада (оклада) в месяц.</w:t>
      </w:r>
    </w:p>
    <w:p>
      <w:pPr>
        <w:pStyle w:val="0"/>
        <w:jc w:val="both"/>
      </w:pPr>
      <w:r>
        <w:rPr>
          <w:sz w:val="20"/>
        </w:rPr>
        <w:t xml:space="preserve">(в ред. </w:t>
      </w:r>
      <w:hyperlink w:history="0" r:id="rId76"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Надбавка за интенсивность работы устанавливается сроком не более чем на один календарный год.</w:t>
      </w:r>
    </w:p>
    <w:p>
      <w:pPr>
        <w:pStyle w:val="0"/>
        <w:spacing w:before="200" w:line-rule="auto"/>
        <w:ind w:firstLine="540"/>
        <w:jc w:val="both"/>
      </w:pPr>
      <w:r>
        <w:rPr>
          <w:sz w:val="20"/>
        </w:rPr>
        <w:t xml:space="preserve">Размер надбавки руководителю учреждения определяется работодателем. Заместителям руководителя учреждения и главному бухгалтеру учреждения размер надбавки устанавливает руководитель учреждения.</w:t>
      </w:r>
    </w:p>
    <w:p>
      <w:pPr>
        <w:pStyle w:val="0"/>
        <w:spacing w:before="200" w:line-rule="auto"/>
        <w:ind w:firstLine="540"/>
        <w:jc w:val="both"/>
      </w:pPr>
      <w:r>
        <w:rPr>
          <w:sz w:val="20"/>
        </w:rPr>
        <w:t xml:space="preserve">5.6. Руководителю учреждения может устанавливаться доплата за организацию приносящей доход деятельности за счет средств, полученных от приносящей доход деятельности. Периодичность и размеры указанной доплаты устанавливаются работодателем в процентах от дохода от указанной деятельности.</w:t>
      </w:r>
    </w:p>
    <w:p>
      <w:pPr>
        <w:pStyle w:val="0"/>
        <w:spacing w:before="200" w:line-rule="auto"/>
        <w:ind w:firstLine="540"/>
        <w:jc w:val="both"/>
      </w:pPr>
      <w:r>
        <w:rPr>
          <w:sz w:val="20"/>
        </w:rPr>
        <w:t xml:space="preserve">Другие стимулирующие выплаты руководителю устанавливаются в соответствии с </w:t>
      </w:r>
      <w:hyperlink w:history="0" w:anchor="P185" w:tooltip="4.9. Надбавка за наличие квалификационной категории устанавливается:">
        <w:r>
          <w:rPr>
            <w:sz w:val="20"/>
            <w:color w:val="0000ff"/>
          </w:rPr>
          <w:t xml:space="preserve">пунктами 4.9</w:t>
        </w:r>
      </w:hyperlink>
      <w:r>
        <w:rPr>
          <w:sz w:val="20"/>
        </w:rPr>
        <w:t xml:space="preserve">, </w:t>
      </w:r>
      <w:hyperlink w:history="0" w:anchor="P201" w:tooltip="4.10. Надбавка за выслугу лет устанавливается в соответствии с Положением о порядке установления и выплаты надбавки за выслугу лет работникам учреждений (приложение 7 к настоящему Положению).">
        <w:r>
          <w:rPr>
            <w:sz w:val="20"/>
            <w:color w:val="0000ff"/>
          </w:rPr>
          <w:t xml:space="preserve">4.10</w:t>
        </w:r>
      </w:hyperlink>
      <w:r>
        <w:rPr>
          <w:sz w:val="20"/>
        </w:rPr>
        <w:t xml:space="preserve"> настоящего Положения, заместителям руководителя и главному бухгалтеру - в соответствии с </w:t>
      </w:r>
      <w:hyperlink w:history="0" w:anchor="P167" w:tooltip="4.4. Работникам учреждений устанавливается ежемесячная доплата за выполнение показателей оценки эффективности деятельности. Показатели и критерии оценки эффективности деятельности работников для установления ежемесячной доплаты утверждаются локальными нормативными актами учреждения, принимаемыми с учетом мнения представительного органа работников.">
        <w:r>
          <w:rPr>
            <w:sz w:val="20"/>
            <w:color w:val="0000ff"/>
          </w:rPr>
          <w:t xml:space="preserve">пунктами 4.4</w:t>
        </w:r>
      </w:hyperlink>
      <w:r>
        <w:rPr>
          <w:sz w:val="20"/>
        </w:rPr>
        <w:t xml:space="preserve">, </w:t>
      </w:r>
      <w:hyperlink w:history="0" w:anchor="P185" w:tooltip="4.9. Надбавка за наличие квалификационной категории устанавливается:">
        <w:r>
          <w:rPr>
            <w:sz w:val="20"/>
            <w:color w:val="0000ff"/>
          </w:rPr>
          <w:t xml:space="preserve">4.9</w:t>
        </w:r>
      </w:hyperlink>
      <w:r>
        <w:rPr>
          <w:sz w:val="20"/>
        </w:rPr>
        <w:t xml:space="preserve">, </w:t>
      </w:r>
      <w:hyperlink w:history="0" w:anchor="P201" w:tooltip="4.10. Надбавка за выслугу лет устанавливается в соответствии с Положением о порядке установления и выплаты надбавки за выслугу лет работникам учреждений (приложение 7 к настоящему Положению).">
        <w:r>
          <w:rPr>
            <w:sz w:val="20"/>
            <w:color w:val="0000ff"/>
          </w:rPr>
          <w:t xml:space="preserve">4.10</w:t>
        </w:r>
      </w:hyperlink>
      <w:r>
        <w:rPr>
          <w:sz w:val="20"/>
        </w:rPr>
        <w:t xml:space="preserve">, </w:t>
      </w:r>
      <w:hyperlink w:history="0" w:anchor="P207" w:tooltip="4.13. Локальным нормативным актом учреждения для работников учреждения могут быть установлены иные виды выплат стимулирующего характера.">
        <w:r>
          <w:rPr>
            <w:sz w:val="20"/>
            <w:color w:val="0000ff"/>
          </w:rPr>
          <w:t xml:space="preserve">4.13</w:t>
        </w:r>
      </w:hyperlink>
      <w:r>
        <w:rPr>
          <w:sz w:val="20"/>
        </w:rPr>
        <w:t xml:space="preserve"> настоящего Положения.</w:t>
      </w:r>
    </w:p>
    <w:p>
      <w:pPr>
        <w:pStyle w:val="0"/>
        <w:jc w:val="both"/>
      </w:pPr>
      <w:r>
        <w:rPr>
          <w:sz w:val="20"/>
        </w:rPr>
        <w:t xml:space="preserve">(в ред. </w:t>
      </w:r>
      <w:hyperlink w:history="0" r:id="rId77"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5.7. Премирование руководителя учреждения осуществляется по итогам работы за квартал с учетом выполнения показателей оценки эффективности деятельности учреждения. Порядок, размер и условия осуществления указанной премии, показатели и критерии оценки эффективности деятельности учреждения устанавливаются работодателем.</w:t>
      </w:r>
    </w:p>
    <w:p>
      <w:pPr>
        <w:pStyle w:val="0"/>
        <w:spacing w:before="200" w:line-rule="auto"/>
        <w:ind w:firstLine="540"/>
        <w:jc w:val="both"/>
      </w:pPr>
      <w:r>
        <w:rPr>
          <w:sz w:val="20"/>
        </w:rPr>
        <w:t xml:space="preserve">Порядок, периодичность, размеры и условия премирования заместителей руководителя и главного бухгалтера учреждения по итогам работы устанавливаются руководителем учреждения.</w:t>
      </w:r>
    </w:p>
    <w:p>
      <w:pPr>
        <w:pStyle w:val="0"/>
        <w:spacing w:before="200" w:line-rule="auto"/>
        <w:ind w:firstLine="540"/>
        <w:jc w:val="both"/>
      </w:pPr>
      <w:r>
        <w:rPr>
          <w:sz w:val="20"/>
        </w:rPr>
        <w:t xml:space="preserve">5.8. Руководителю учреждения, его заместителям и главному бухгалтеру могут выплачиваться единовременные премии:</w:t>
      </w:r>
    </w:p>
    <w:p>
      <w:pPr>
        <w:pStyle w:val="0"/>
        <w:spacing w:before="200" w:line-rule="auto"/>
        <w:ind w:firstLine="540"/>
        <w:jc w:val="both"/>
      </w:pPr>
      <w:r>
        <w:rPr>
          <w:sz w:val="20"/>
        </w:rPr>
        <w:t xml:space="preserve">за выполнение особо важных и срочных работ. Выплата производится не чаще одного раза в течение календарного года;</w:t>
      </w:r>
    </w:p>
    <w:p>
      <w:pPr>
        <w:pStyle w:val="0"/>
        <w:spacing w:before="200" w:line-rule="auto"/>
        <w:ind w:firstLine="540"/>
        <w:jc w:val="both"/>
      </w:pPr>
      <w:r>
        <w:rPr>
          <w:sz w:val="20"/>
        </w:rPr>
        <w:t xml:space="preserve">при награждении государственными наградами Российской Федерации - в размере 2 должностных окладов, ведомственными наградами Министерства здравоохранения Российской Федерации и Почетной грамотой министерства здравоохранения Самарской области - в размере 1 должностного оклада;</w:t>
      </w:r>
    </w:p>
    <w:p>
      <w:pPr>
        <w:pStyle w:val="0"/>
        <w:jc w:val="both"/>
      </w:pPr>
      <w:r>
        <w:rPr>
          <w:sz w:val="20"/>
        </w:rPr>
        <w:t xml:space="preserve">(в ред. </w:t>
      </w:r>
      <w:hyperlink w:history="0" r:id="rId78"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к профессиональному празднику "День медицинского работника";</w:t>
      </w:r>
    </w:p>
    <w:p>
      <w:pPr>
        <w:pStyle w:val="0"/>
        <w:spacing w:before="200" w:line-rule="auto"/>
        <w:ind w:firstLine="540"/>
        <w:jc w:val="both"/>
      </w:pPr>
      <w:r>
        <w:rPr>
          <w:sz w:val="20"/>
        </w:rPr>
        <w:t xml:space="preserve">при присуждении ученой степени (по профилю работы) доктора наук - в размере 3 должностных окладов;</w:t>
      </w:r>
    </w:p>
    <w:p>
      <w:pPr>
        <w:pStyle w:val="0"/>
        <w:jc w:val="both"/>
      </w:pPr>
      <w:r>
        <w:rPr>
          <w:sz w:val="20"/>
        </w:rPr>
        <w:t xml:space="preserve">(в ред. </w:t>
      </w:r>
      <w:hyperlink w:history="0" r:id="rId79"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при присуждении ученой степени (по профилю работы) кандидата наук - в размере 2 должностных окладов.</w:t>
      </w:r>
    </w:p>
    <w:p>
      <w:pPr>
        <w:pStyle w:val="0"/>
        <w:jc w:val="both"/>
      </w:pPr>
      <w:r>
        <w:rPr>
          <w:sz w:val="20"/>
        </w:rPr>
        <w:t xml:space="preserve">(в ред. </w:t>
      </w:r>
      <w:hyperlink w:history="0" r:id="rId80"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Выплата единовременной премии при присуждении ученой степени и награждении государственными наградами Российской Федерации производится только по основной работе.</w:t>
      </w:r>
    </w:p>
    <w:p>
      <w:pPr>
        <w:pStyle w:val="0"/>
        <w:spacing w:before="200" w:line-rule="auto"/>
        <w:ind w:firstLine="540"/>
        <w:jc w:val="both"/>
      </w:pPr>
      <w:r>
        <w:rPr>
          <w:sz w:val="20"/>
        </w:rPr>
        <w:t xml:space="preserve">Конкретные размеры и порядок премирования устанавливаются работодателем.</w:t>
      </w:r>
    </w:p>
    <w:p>
      <w:pPr>
        <w:pStyle w:val="0"/>
        <w:spacing w:before="200" w:line-rule="auto"/>
        <w:ind w:firstLine="540"/>
        <w:jc w:val="both"/>
      </w:pPr>
      <w:r>
        <w:rPr>
          <w:sz w:val="20"/>
        </w:rPr>
        <w:t xml:space="preserve">Локальным актом учреждения могут быть предусмотрены иные основания для выплат единовременных премий заместителям руководителя, главному бухгалтеру за счет средств, полученных от приносящей доход деятельности.</w:t>
      </w:r>
    </w:p>
    <w:p>
      <w:pPr>
        <w:pStyle w:val="0"/>
        <w:spacing w:before="200" w:line-rule="auto"/>
        <w:ind w:firstLine="540"/>
        <w:jc w:val="both"/>
      </w:pPr>
      <w:r>
        <w:rPr>
          <w:sz w:val="20"/>
        </w:rPr>
        <w:t xml:space="preserve">Премирование руководителя учреждения, его заместителей и главного бухгалтера производится на основании приказа (распоряжения) работодателя.</w:t>
      </w:r>
    </w:p>
    <w:p>
      <w:pPr>
        <w:pStyle w:val="0"/>
        <w:spacing w:before="200" w:line-rule="auto"/>
        <w:ind w:firstLine="540"/>
        <w:jc w:val="both"/>
      </w:pPr>
      <w:r>
        <w:rPr>
          <w:sz w:val="20"/>
        </w:rPr>
        <w:t xml:space="preserve">5.9. Руководителям учреждений за совмещение профессий (должностей) и исполнение обязанностей временно отсутствующего работника установление доплаты производится министром здравоохранения Самарской области в соответствии со </w:t>
      </w:r>
      <w:hyperlink w:history="0" r:id="rId8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статьями 60.2</w:t>
        </w:r>
      </w:hyperlink>
      <w:r>
        <w:rPr>
          <w:sz w:val="20"/>
        </w:rPr>
        <w:t xml:space="preserve">, </w:t>
      </w:r>
      <w:hyperlink w:history="0" r:id="rId8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151</w:t>
        </w:r>
      </w:hyperlink>
      <w:r>
        <w:rPr>
          <w:sz w:val="20"/>
        </w:rPr>
        <w:t xml:space="preserve"> ТК РФ.</w:t>
      </w:r>
    </w:p>
    <w:p>
      <w:pPr>
        <w:pStyle w:val="0"/>
        <w:jc w:val="both"/>
      </w:pPr>
      <w:r>
        <w:rPr>
          <w:sz w:val="20"/>
        </w:rPr>
        <w:t xml:space="preserve">(п. 5.9 в ред. </w:t>
      </w:r>
      <w:hyperlink w:history="0" r:id="rId83"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bookmarkStart w:id="245" w:name="P245"/>
    <w:bookmarkEnd w:id="245"/>
    <w:p>
      <w:pPr>
        <w:pStyle w:val="0"/>
        <w:spacing w:before="200" w:line-rule="auto"/>
        <w:ind w:firstLine="540"/>
        <w:jc w:val="both"/>
      </w:pPr>
      <w:r>
        <w:rPr>
          <w:sz w:val="20"/>
        </w:rPr>
        <w:t xml:space="preserve">5.10. Предельный уровень соотношения среднемесячной заработной платы за календарный год руководителей, заместителей руководителей, главных бухгалтеров учреждений и среднемесячной заработной платы за календарный год работников соответствующих учреждений устанавливается в соответствии с </w:t>
      </w:r>
      <w:hyperlink w:history="0" w:anchor="P1040" w:tooltip="ПРЕДЕЛЬНЫЙ УРОВЕНЬ">
        <w:r>
          <w:rPr>
            <w:sz w:val="20"/>
            <w:color w:val="0000ff"/>
          </w:rPr>
          <w:t xml:space="preserve">приложением 10</w:t>
        </w:r>
      </w:hyperlink>
      <w:r>
        <w:rPr>
          <w:sz w:val="20"/>
        </w:rPr>
        <w:t xml:space="preserve"> к настоящему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4"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Абз. 3</w:t>
              </w:r>
            </w:hyperlink>
            <w:r>
              <w:rPr>
                <w:sz w:val="20"/>
                <w:color w:val="392c69"/>
              </w:rPr>
              <w:t xml:space="preserve"> и </w:t>
            </w:r>
            <w:hyperlink w:history="0" r:id="rId85"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4 п. 9</w:t>
              </w:r>
            </w:hyperlink>
            <w:r>
              <w:rPr>
                <w:sz w:val="20"/>
                <w:color w:val="392c69"/>
              </w:rPr>
              <w:t xml:space="preserve"> Постановления Правительства Самарской области от 13.02.2017 N 91 одновременно были внесены изменения в абз. 2 п. 5.10:</w:t>
            </w:r>
          </w:p>
          <w:p>
            <w:pPr>
              <w:pStyle w:val="0"/>
              <w:jc w:val="both"/>
            </w:pPr>
            <w:hyperlink w:history="0" r:id="rId86"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Абз. 3 п. 9</w:t>
              </w:r>
            </w:hyperlink>
            <w:r>
              <w:rPr>
                <w:sz w:val="20"/>
                <w:color w:val="392c69"/>
              </w:rPr>
              <w:t xml:space="preserve"> в абз. 2 п. 5.10 слова "руководителей и их заместителей-врачей" заменены словами "руководителя учреждения, его заместителей и главного бухгалтера". </w:t>
            </w:r>
            <w:hyperlink w:history="0" r:id="rId87"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Абз. 4 п. 9</w:t>
              </w:r>
            </w:hyperlink>
            <w:r>
              <w:rPr>
                <w:sz w:val="20"/>
                <w:color w:val="392c69"/>
              </w:rPr>
              <w:t xml:space="preserve"> п. 5.10 изложен в новой </w:t>
            </w:r>
            <w:hyperlink w:history="0" r:id="rId88"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редакции</w:t>
              </w:r>
            </w:hyperlink>
            <w:r>
              <w:rPr>
                <w:sz w:val="20"/>
                <w:color w:val="392c69"/>
              </w:rPr>
              <w:t xml:space="preserve">.</w:t>
            </w:r>
          </w:p>
          <w:p>
            <w:pPr>
              <w:pStyle w:val="0"/>
              <w:jc w:val="both"/>
            </w:pPr>
            <w:r>
              <w:rPr>
                <w:sz w:val="20"/>
                <w:color w:val="392c69"/>
              </w:rPr>
              <w:t xml:space="preserve">Редакция абз. 2 п. 5.10 с изменениями, внесенными </w:t>
            </w:r>
            <w:hyperlink w:history="0" r:id="rId89"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абз. 4 п. 9</w:t>
              </w:r>
            </w:hyperlink>
            <w:r>
              <w:rPr>
                <w:sz w:val="20"/>
                <w:color w:val="392c69"/>
              </w:rPr>
              <w:t xml:space="preserve"> Постановления Правительства Самарской области от 13.02.2017 N 91,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исчисления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соответствующих учреждений (без учета заработной платы руководителей, заместителей руководителей, главных бухгалтеров) в целях определения предельного уровня их соотношения устанавливается Правительством Российской Федерации.</w:t>
      </w:r>
    </w:p>
    <w:p>
      <w:pPr>
        <w:pStyle w:val="0"/>
        <w:spacing w:before="200" w:line-rule="auto"/>
        <w:ind w:firstLine="540"/>
        <w:jc w:val="both"/>
      </w:pPr>
      <w:r>
        <w:rPr>
          <w:sz w:val="20"/>
        </w:rPr>
        <w:t xml:space="preserve">В случае расторжения трудового договора с руководителем учреждения и возложения его обязанностей на заместителя руководителя учреждения на длительный срок (более 3 месяцев в календарном году) предельный уровень соотношения среднемесячной заработной платы заместителя руководителя учреждения, исполняющего обязанности руководителя учреждения, и среднемесячной заработной платы работников на период исполнения обязанностей устанавливается в кратности, применяемой для руководителей учреждения.</w:t>
      </w:r>
    </w:p>
    <w:p>
      <w:pPr>
        <w:pStyle w:val="0"/>
        <w:jc w:val="both"/>
      </w:pPr>
      <w:r>
        <w:rPr>
          <w:sz w:val="20"/>
        </w:rPr>
        <w:t xml:space="preserve">(абзац введен </w:t>
      </w:r>
      <w:hyperlink w:history="0" r:id="rId90"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 2016 году определение и оценка соблюдения предельного уровня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соответствующих учреждений осуществляются начиная с 1 октября 2016 года. При этом его расчет за 2016 год осуществляется за период с 1 октября по 31 декабря 2016 года, то есть за 3 месяца.</w:t>
      </w:r>
    </w:p>
    <w:p>
      <w:pPr>
        <w:pStyle w:val="0"/>
        <w:spacing w:before="200" w:line-rule="auto"/>
        <w:ind w:firstLine="540"/>
        <w:jc w:val="both"/>
      </w:pPr>
      <w:r>
        <w:rPr>
          <w:sz w:val="20"/>
        </w:rPr>
        <w:t xml:space="preserve">2. В 2016 году определение и оценка соблюдения предельного уровня соотношения среднемесячной заработной платы руководителей учреждений и среднемесячной заработной платы работников соответствующих учреждений осуществляются отдельно за периоды с января по сентябрь и с октября по декабрь 2016 года в соответствии с предельным уровнем соотношения среднемесячной заработной платы руководителей учреждений и среднемесячной заработной платы работников соответствующих учреждений, действующим в каждый из указанных периодов в соответствующей редакции </w:t>
      </w:r>
      <w:hyperlink w:history="0" w:anchor="P245" w:tooltip="5.10. Предельный уровень соотношения среднемесячной заработной платы за календарный год руководителей, заместителей руководителей, главных бухгалтеров учреждений и среднемесячной заработной платы за календарный год работников соответствующих учреждений устанавливается в соответствии с приложением 10 к настоящему Положению.">
        <w:r>
          <w:rPr>
            <w:sz w:val="20"/>
            <w:color w:val="0000ff"/>
          </w:rPr>
          <w:t xml:space="preserve">пункта 5.10</w:t>
        </w:r>
      </w:hyperlink>
      <w:r>
        <w:rPr>
          <w:sz w:val="20"/>
        </w:rPr>
        <w:t xml:space="preserve"> настоящего Положения. При этом его расчет осуществляется за период с января по сентябрь 2016 года - за 9 месяцев, за период с октября по декабрь 2016 года - за 3 месяца.</w:t>
      </w:r>
    </w:p>
    <w:p>
      <w:pPr>
        <w:pStyle w:val="0"/>
        <w:jc w:val="both"/>
      </w:pPr>
      <w:r>
        <w:rPr>
          <w:sz w:val="20"/>
        </w:rPr>
        <w:t xml:space="preserve">(примечания введены </w:t>
      </w:r>
      <w:hyperlink w:history="0" r:id="rId91" w:tooltip="Постановление Правительства Самарской области от 23.06.2017 N 399 (ред. от 22.05.2019)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23.06.2017 N 399)</w:t>
      </w:r>
    </w:p>
    <w:p>
      <w:pPr>
        <w:pStyle w:val="0"/>
        <w:jc w:val="both"/>
      </w:pPr>
      <w:r>
        <w:rPr>
          <w:sz w:val="20"/>
        </w:rPr>
        <w:t xml:space="preserve">(п. 5.10 в ред. </w:t>
      </w:r>
      <w:hyperlink w:history="0" r:id="rId92" w:tooltip="Постановление Правительства Самарской области от 13.02.2017 N 91 (ред. от 22.05.2019) &quot;Об утверждении Порядка размещения информации о среднемесячной заработной плате руководителей, их заместителей и главных бухгалтеров государственных учреждений Самарской области, подведомственных министерству здравоохранения Самарской области, и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13.02.2017 N 91)</w:t>
      </w:r>
    </w:p>
    <w:p>
      <w:pPr>
        <w:pStyle w:val="0"/>
        <w:jc w:val="both"/>
      </w:pPr>
      <w:r>
        <w:rPr>
          <w:sz w:val="20"/>
        </w:rPr>
      </w:r>
    </w:p>
    <w:p>
      <w:pPr>
        <w:pStyle w:val="2"/>
        <w:outlineLvl w:val="1"/>
        <w:jc w:val="center"/>
      </w:pPr>
      <w:r>
        <w:rPr>
          <w:sz w:val="20"/>
        </w:rPr>
        <w:t xml:space="preserve">6. Материальная помощь</w:t>
      </w:r>
    </w:p>
    <w:p>
      <w:pPr>
        <w:pStyle w:val="0"/>
        <w:jc w:val="both"/>
      </w:pPr>
      <w:r>
        <w:rPr>
          <w:sz w:val="20"/>
        </w:rPr>
      </w:r>
    </w:p>
    <w:p>
      <w:pPr>
        <w:pStyle w:val="0"/>
        <w:ind w:firstLine="540"/>
        <w:jc w:val="both"/>
      </w:pPr>
      <w:r>
        <w:rPr>
          <w:sz w:val="20"/>
        </w:rPr>
        <w:t xml:space="preserve">6.1. Работникам учреждения может быть оказана материальная помощь. Порядок и условия предоставления материальной помощи устанавливаются локальным нормативным актом учреждения с учетом мнения представительного органа работников. Размер материальной помощи работникам устанавливается руководителем учреждения в соответствии с локальным нормативным актом учреждения.</w:t>
      </w:r>
    </w:p>
    <w:p>
      <w:pPr>
        <w:pStyle w:val="0"/>
        <w:spacing w:before="200" w:line-rule="auto"/>
        <w:ind w:firstLine="540"/>
        <w:jc w:val="both"/>
      </w:pPr>
      <w:r>
        <w:rPr>
          <w:sz w:val="20"/>
        </w:rPr>
        <w:t xml:space="preserve">6.2. На основании распоряжения работодателя в случаях, установленных трудовым договором, руководителю учреждения может быть оказана материальная помощь в размере, определяемом работодателем.</w:t>
      </w:r>
    </w:p>
    <w:p>
      <w:pPr>
        <w:pStyle w:val="0"/>
        <w:jc w:val="both"/>
      </w:pPr>
      <w:r>
        <w:rPr>
          <w:sz w:val="20"/>
        </w:rPr>
        <w:t xml:space="preserve">(п. 6.2 в ред. </w:t>
      </w:r>
      <w:hyperlink w:history="0" r:id="rId93"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jc w:val="both"/>
      </w:pPr>
      <w:r>
        <w:rPr>
          <w:sz w:val="20"/>
        </w:rPr>
      </w:r>
    </w:p>
    <w:p>
      <w:pPr>
        <w:pStyle w:val="2"/>
        <w:outlineLvl w:val="1"/>
        <w:jc w:val="center"/>
      </w:pPr>
      <w:r>
        <w:rPr>
          <w:sz w:val="20"/>
        </w:rPr>
        <w:t xml:space="preserve">7. Другие вопросы оплаты труда</w:t>
      </w:r>
    </w:p>
    <w:p>
      <w:pPr>
        <w:pStyle w:val="0"/>
        <w:jc w:val="both"/>
      </w:pPr>
      <w:r>
        <w:rPr>
          <w:sz w:val="20"/>
        </w:rPr>
      </w:r>
    </w:p>
    <w:p>
      <w:pPr>
        <w:pStyle w:val="0"/>
        <w:ind w:firstLine="540"/>
        <w:jc w:val="both"/>
      </w:pPr>
      <w:r>
        <w:rPr>
          <w:sz w:val="20"/>
        </w:rPr>
        <w:t xml:space="preserve">7.1. Работникам учреждения, заработная плата которых по новой системе оплаты труда с учетом компенсационных и стимулирующих выплат ниже установленного федеральным законом минимального размера оплаты труда, устанавливаются выплаты в абсолютном размере с учетом дифференциации оплаты труда по должностям служащих и профессиям рабочих. Размер выплат может меняться в зависимости от изменения условий труда работника учреждения. Указанные выплаты обеспечиваются руководителем учреждения за счет средств областного бюджета, средств обязательного медицинского страхования, средств, полученных от приносящей доход деятельности, направленных учреждением на оплату труда.</w:t>
      </w:r>
    </w:p>
    <w:p>
      <w:pPr>
        <w:pStyle w:val="0"/>
        <w:spacing w:before="200" w:line-rule="auto"/>
        <w:ind w:firstLine="540"/>
        <w:jc w:val="both"/>
      </w:pPr>
      <w:r>
        <w:rPr>
          <w:sz w:val="20"/>
        </w:rPr>
        <w:t xml:space="preserve">7.2. Порядок расходования фонда оплаты труда работников учреждения, сформированного за счет средств, полученных от приносящей доход деятельности, устанавливается коллективным договором, локальными нормативными актами учреждения с учетом мнения представительного органа работников.</w:t>
      </w:r>
    </w:p>
    <w:p>
      <w:pPr>
        <w:pStyle w:val="0"/>
        <w:spacing w:before="200" w:line-rule="auto"/>
        <w:ind w:firstLine="540"/>
        <w:jc w:val="both"/>
      </w:pPr>
      <w:r>
        <w:rPr>
          <w:sz w:val="20"/>
        </w:rPr>
        <w:t xml:space="preserve">7.3. Утратил силу с 1 сентября 2017 года. - </w:t>
      </w:r>
      <w:hyperlink w:history="0" r:id="rId94"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27.06.2017 N 408.</w:t>
      </w:r>
    </w:p>
    <w:p>
      <w:pPr>
        <w:pStyle w:val="0"/>
        <w:jc w:val="both"/>
      </w:pPr>
      <w:r>
        <w:rPr>
          <w:sz w:val="20"/>
        </w:rPr>
      </w:r>
    </w:p>
    <w:p>
      <w:pPr>
        <w:pStyle w:val="2"/>
        <w:outlineLvl w:val="1"/>
        <w:jc w:val="center"/>
      </w:pPr>
      <w:r>
        <w:rPr>
          <w:sz w:val="20"/>
        </w:rPr>
        <w:t xml:space="preserve">8. Особенности оплаты труда отдельных категорий</w:t>
      </w:r>
    </w:p>
    <w:p>
      <w:pPr>
        <w:pStyle w:val="2"/>
        <w:jc w:val="center"/>
      </w:pPr>
      <w:r>
        <w:rPr>
          <w:sz w:val="20"/>
        </w:rPr>
        <w:t xml:space="preserve">работников стоматологических учреждений (подразделений)</w:t>
      </w:r>
    </w:p>
    <w:p>
      <w:pPr>
        <w:pStyle w:val="0"/>
        <w:jc w:val="both"/>
      </w:pPr>
      <w:r>
        <w:rPr>
          <w:sz w:val="20"/>
        </w:rPr>
      </w:r>
    </w:p>
    <w:p>
      <w:pPr>
        <w:pStyle w:val="0"/>
        <w:ind w:firstLine="540"/>
        <w:jc w:val="both"/>
      </w:pPr>
      <w:r>
        <w:rPr>
          <w:sz w:val="20"/>
        </w:rPr>
        <w:t xml:space="preserve">8.1. В целях усиления заинтересованности работников стоматологических учреждений (подразделений) в росте производительности труда, повышении качества и расширении объема оказываемой специализированной помощи для врачей-стоматологов, врачей - стоматологов детских, зубных врачей, врачей - стоматологов-терапевтов, врачей - стоматологов-хирургов, врачей-ортодонтов, врачей - стоматологов-ортопедов, зубных техников, литейщиков вакуумного, центробежно-вакуумного и центробежного литья, полировщиков стоматологических учреждений (подразделений) может применяться сдельная оплата труда.</w:t>
      </w:r>
    </w:p>
    <w:p>
      <w:pPr>
        <w:pStyle w:val="0"/>
        <w:jc w:val="both"/>
      </w:pPr>
      <w:r>
        <w:rPr>
          <w:sz w:val="20"/>
        </w:rPr>
        <w:t xml:space="preserve">(в ред. </w:t>
      </w:r>
      <w:hyperlink w:history="0" r:id="rId95"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Сдельная оплата труда устанавливается коллективными договорами, соглашениями, локальными нормативными актами учреждений в соответствии с настоящим разделом.</w:t>
      </w:r>
    </w:p>
    <w:p>
      <w:pPr>
        <w:pStyle w:val="0"/>
        <w:spacing w:before="200" w:line-rule="auto"/>
        <w:ind w:firstLine="540"/>
        <w:jc w:val="both"/>
      </w:pPr>
      <w:r>
        <w:rPr>
          <w:sz w:val="20"/>
        </w:rPr>
        <w:t xml:space="preserve">8.2. Заработная плата работников со сдельной оплатой труда состоит из оплаты за выполненные работы (далее - сдельный заработок), которая определяется путем умножения сдельной расценки на выполненный объем работ, учитываемый в условных единицах трудоемкости (далее - УЕТ), и выплат компенсационного и стимулирующего характера.</w:t>
      </w:r>
    </w:p>
    <w:p>
      <w:pPr>
        <w:pStyle w:val="0"/>
        <w:spacing w:before="200" w:line-rule="auto"/>
        <w:ind w:firstLine="540"/>
        <w:jc w:val="both"/>
      </w:pPr>
      <w:r>
        <w:rPr>
          <w:sz w:val="20"/>
        </w:rPr>
        <w:t xml:space="preserve">8.3. За 1 УЕТ для врачей-стоматологов, врачей - стоматологов детских, врачей - стоматологов-терапевтов, врачей - стоматологов-хирургов, врачей-ортодонтов, зубных врачей принят объем работы, на выполнение которого требуется 10 минут.</w:t>
      </w:r>
    </w:p>
    <w:p>
      <w:pPr>
        <w:pStyle w:val="0"/>
        <w:jc w:val="both"/>
      </w:pPr>
      <w:r>
        <w:rPr>
          <w:sz w:val="20"/>
        </w:rPr>
        <w:t xml:space="preserve">(в ред. </w:t>
      </w:r>
      <w:hyperlink w:history="0" r:id="rId96"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Абзац утратил силу с 1 сентября 2017 года. - </w:t>
      </w:r>
      <w:hyperlink w:history="0" r:id="rId97"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За 1 УЕТ для врача - стоматолога-ортопеда принят объем работы врача, на выполнение которого требуется 10 минут. При изготовлении зубных протезов из драгоценных металлов применяется по всем видам работ повышающий коэффициент 1,3.</w:t>
      </w:r>
    </w:p>
    <w:p>
      <w:pPr>
        <w:pStyle w:val="0"/>
        <w:jc w:val="both"/>
      </w:pPr>
      <w:r>
        <w:rPr>
          <w:sz w:val="20"/>
        </w:rPr>
        <w:t xml:space="preserve">(в ред. </w:t>
      </w:r>
      <w:hyperlink w:history="0" r:id="rId98"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За 1 УЕТ для зубного техника принят объем работы, на выполнение которого требуется 10 минут.</w:t>
      </w:r>
    </w:p>
    <w:p>
      <w:pPr>
        <w:pStyle w:val="0"/>
        <w:jc w:val="both"/>
      </w:pPr>
      <w:r>
        <w:rPr>
          <w:sz w:val="20"/>
        </w:rPr>
        <w:t xml:space="preserve">(в ред. </w:t>
      </w:r>
      <w:hyperlink w:history="0" r:id="rId99"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За 1 УЕТ для литейщика вакуумного, центробежно-вакуумного и центробежного литья, полировщика принят объем работы, на выполнение которого требуется 10 минут.</w:t>
      </w:r>
    </w:p>
    <w:p>
      <w:pPr>
        <w:pStyle w:val="0"/>
        <w:jc w:val="both"/>
      </w:pPr>
      <w:r>
        <w:rPr>
          <w:sz w:val="20"/>
        </w:rPr>
        <w:t xml:space="preserve">(в ред. </w:t>
      </w:r>
      <w:hyperlink w:history="0" r:id="rId100"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8.4. Сдельные расценки определяются путем деления должностного оклада по соответствующей должности (профессии) на установленную в УЕТ норму трудовых затрат в месяц по должностям (профессиям) работников стоматологических учреждений (подразделений) в соответствии с </w:t>
      </w:r>
      <w:hyperlink w:history="0" w:anchor="P1498" w:tooltip="НОРМЫ">
        <w:r>
          <w:rPr>
            <w:sz w:val="20"/>
            <w:color w:val="0000ff"/>
          </w:rPr>
          <w:t xml:space="preserve">приложением 11</w:t>
        </w:r>
      </w:hyperlink>
      <w:r>
        <w:rPr>
          <w:sz w:val="20"/>
        </w:rPr>
        <w:t xml:space="preserve"> к настоящему Положению.</w:t>
      </w:r>
    </w:p>
    <w:p>
      <w:pPr>
        <w:pStyle w:val="0"/>
        <w:spacing w:before="200" w:line-rule="auto"/>
        <w:ind w:firstLine="540"/>
        <w:jc w:val="both"/>
      </w:pPr>
      <w:r>
        <w:rPr>
          <w:sz w:val="20"/>
        </w:rPr>
        <w:t xml:space="preserve">8.5. Работникам со сдельной оплатой труда устанавливаются доплаты за работу в связи с вредными и (или) опасными для здоровья условиями труда. Размер соответствующих доплат определяется в соответствии с </w:t>
      </w:r>
      <w:hyperlink w:history="0" w:anchor="P121" w:tooltip="3.2. Доплата за работу с вредными и (или) опасными условиями труда устанавливается в соответствии с ТК РФ, Федеральным законом &quot;О специальной оценке условий труда&quot; и Федеральным законом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w:r>
          <w:rPr>
            <w:sz w:val="20"/>
            <w:color w:val="0000ff"/>
          </w:rPr>
          <w:t xml:space="preserve">пунктом 3.2</w:t>
        </w:r>
      </w:hyperlink>
      <w:r>
        <w:rPr>
          <w:sz w:val="20"/>
        </w:rPr>
        <w:t xml:space="preserve"> настоящего Положения в процентах от сдельного заработка.</w:t>
      </w:r>
    </w:p>
    <w:bookmarkStart w:id="288" w:name="P288"/>
    <w:bookmarkEnd w:id="288"/>
    <w:p>
      <w:pPr>
        <w:pStyle w:val="0"/>
        <w:spacing w:before="200" w:line-rule="auto"/>
        <w:ind w:firstLine="540"/>
        <w:jc w:val="both"/>
      </w:pPr>
      <w:r>
        <w:rPr>
          <w:sz w:val="20"/>
        </w:rPr>
        <w:t xml:space="preserve">8.6. Оплата сверхурочной работы работникам со сдельной оплатой труда производится в соответствии со </w:t>
      </w:r>
      <w:hyperlink w:history="0" r:id="rId10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статьей 152</w:t>
        </w:r>
      </w:hyperlink>
      <w:r>
        <w:rPr>
          <w:sz w:val="20"/>
        </w:rPr>
        <w:t xml:space="preserve"> ТК РФ.</w:t>
      </w:r>
    </w:p>
    <w:p>
      <w:pPr>
        <w:pStyle w:val="0"/>
        <w:spacing w:before="200" w:line-rule="auto"/>
        <w:ind w:firstLine="540"/>
        <w:jc w:val="both"/>
      </w:pPr>
      <w:r>
        <w:rPr>
          <w:sz w:val="20"/>
        </w:rPr>
        <w:t xml:space="preserve">Если сверхурочная работа производилась во вредных и (или) опасных условиях труда, то помимо оплаты за сверхурочную работу, предусмотренной </w:t>
      </w:r>
      <w:hyperlink w:history="0" w:anchor="P288" w:tooltip="8.6. Оплата сверхурочной работы работникам со сдельной оплатой труда производится в соответствии со статьей 152 ТК РФ.">
        <w:r>
          <w:rPr>
            <w:sz w:val="20"/>
            <w:color w:val="0000ff"/>
          </w:rPr>
          <w:t xml:space="preserve">абзацем первым</w:t>
        </w:r>
      </w:hyperlink>
      <w:r>
        <w:rPr>
          <w:sz w:val="20"/>
        </w:rPr>
        <w:t xml:space="preserve"> настоящего пункта, производится доплата за каждый час работы во вредных и (или) опасных условиях труда.</w:t>
      </w:r>
    </w:p>
    <w:p>
      <w:pPr>
        <w:pStyle w:val="0"/>
        <w:spacing w:before="200" w:line-rule="auto"/>
        <w:ind w:firstLine="540"/>
        <w:jc w:val="both"/>
      </w:pPr>
      <w:r>
        <w:rPr>
          <w:sz w:val="20"/>
        </w:rPr>
        <w:t xml:space="preserve">Доплата за сверхурочную работу во вредных и (или) опасных условиях труда осуществляется с учетом соблюдения положений </w:t>
      </w:r>
      <w:hyperlink w:history="0" w:anchor="P121" w:tooltip="3.2. Доплата за работу с вредными и (или) опасными условиями труда устанавливается в соответствии с ТК РФ, Федеральным законом &quot;О специальной оценке условий труда&quot; и Федеральным законом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w:r>
          <w:rPr>
            <w:sz w:val="20"/>
            <w:color w:val="0000ff"/>
          </w:rPr>
          <w:t xml:space="preserve">пункта 3.2</w:t>
        </w:r>
      </w:hyperlink>
      <w:r>
        <w:rPr>
          <w:sz w:val="20"/>
        </w:rPr>
        <w:t xml:space="preserve"> настоящего Положения.</w:t>
      </w:r>
    </w:p>
    <w:p>
      <w:pPr>
        <w:pStyle w:val="0"/>
        <w:spacing w:before="200" w:line-rule="auto"/>
        <w:ind w:firstLine="540"/>
        <w:jc w:val="both"/>
      </w:pPr>
      <w:r>
        <w:rPr>
          <w:sz w:val="20"/>
        </w:rPr>
        <w:t xml:space="preserve">8.7. Оплата за работу в выходные и нерабочие праздничные дни при сдельной оплате труда производится в соответствии со </w:t>
      </w:r>
      <w:hyperlink w:history="0" r:id="rId10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статьей 153</w:t>
        </w:r>
      </w:hyperlink>
      <w:r>
        <w:rPr>
          <w:sz w:val="20"/>
        </w:rPr>
        <w:t xml:space="preserve"> ТК РФ не менее чем по двойным сдельным расценкам. За нерабочие праздничные дни, в которые работники со сдельной оплатой труда не привлекались к работе, в соответствии со </w:t>
      </w:r>
      <w:hyperlink w:history="0" r:id="rId10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статьей 112</w:t>
        </w:r>
      </w:hyperlink>
      <w:r>
        <w:rPr>
          <w:sz w:val="20"/>
        </w:rPr>
        <w:t xml:space="preserve"> ТК РФ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представительного органа работников учреждения, трудовым договором.</w:t>
      </w:r>
    </w:p>
    <w:p>
      <w:pPr>
        <w:pStyle w:val="0"/>
        <w:spacing w:before="200" w:line-rule="auto"/>
        <w:ind w:firstLine="540"/>
        <w:jc w:val="both"/>
      </w:pPr>
      <w:r>
        <w:rPr>
          <w:sz w:val="20"/>
        </w:rPr>
        <w:t xml:space="preserve">8.8. При наличии у работника со сдельной оплатой труда квалификационной категории устанавливается надбавка за квалификационную категорию в следующих размерах:</w:t>
      </w:r>
    </w:p>
    <w:p>
      <w:pPr>
        <w:pStyle w:val="0"/>
        <w:spacing w:before="200" w:line-rule="auto"/>
        <w:ind w:firstLine="540"/>
        <w:jc w:val="both"/>
      </w:pPr>
      <w:r>
        <w:rPr>
          <w:sz w:val="20"/>
        </w:rPr>
        <w:t xml:space="preserve">при наличии высшей квалификационной категории - 20% от сдельного заработка;</w:t>
      </w:r>
    </w:p>
    <w:p>
      <w:pPr>
        <w:pStyle w:val="0"/>
        <w:jc w:val="both"/>
      </w:pPr>
      <w:r>
        <w:rPr>
          <w:sz w:val="20"/>
        </w:rPr>
        <w:t xml:space="preserve">(в ред. </w:t>
      </w:r>
      <w:hyperlink w:history="0" r:id="rId104"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при наличии первой квалификационной категории - 15% от сдельного заработка;</w:t>
      </w:r>
    </w:p>
    <w:p>
      <w:pPr>
        <w:pStyle w:val="0"/>
        <w:jc w:val="both"/>
      </w:pPr>
      <w:r>
        <w:rPr>
          <w:sz w:val="20"/>
        </w:rPr>
        <w:t xml:space="preserve">(в ред. </w:t>
      </w:r>
      <w:hyperlink w:history="0" r:id="rId105"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при наличии второй квалификационной категории - 10% от сдельного заработка.</w:t>
      </w:r>
    </w:p>
    <w:p>
      <w:pPr>
        <w:pStyle w:val="0"/>
        <w:jc w:val="both"/>
      </w:pPr>
      <w:r>
        <w:rPr>
          <w:sz w:val="20"/>
        </w:rPr>
        <w:t xml:space="preserve">(в ред. </w:t>
      </w:r>
      <w:hyperlink w:history="0" r:id="rId106"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При этом во всех случаях размер надбавки не может превышать соответствующего размера надбавки, исчисленного в пределах нормы трудовых затрат в месяц.</w:t>
      </w:r>
    </w:p>
    <w:p>
      <w:pPr>
        <w:pStyle w:val="0"/>
        <w:spacing w:before="200" w:line-rule="auto"/>
        <w:ind w:firstLine="540"/>
        <w:jc w:val="both"/>
      </w:pPr>
      <w:r>
        <w:rPr>
          <w:sz w:val="20"/>
        </w:rPr>
        <w:t xml:space="preserve">8.9. Надбавки за выслугу лет работникам со сдельной оплатой труда устанавливаются в размерах, предусмотренных настоящим Положением, в процентах от сдельного заработка. При этом во всех случаях размер надбавок не может превышать соответствующих размеров надбавок, исчисленных в пределах нормы трудовых затрат в месяц.</w:t>
      </w:r>
    </w:p>
    <w:p>
      <w:pPr>
        <w:pStyle w:val="0"/>
        <w:spacing w:before="200" w:line-rule="auto"/>
        <w:ind w:firstLine="540"/>
        <w:jc w:val="both"/>
      </w:pPr>
      <w:r>
        <w:rPr>
          <w:sz w:val="20"/>
        </w:rPr>
        <w:t xml:space="preserve">8.10. По итогам работы (за месяц, квартал, год) может производиться премирование работников учреждения со сдельной оплатой труда.</w:t>
      </w:r>
    </w:p>
    <w:p>
      <w:pPr>
        <w:pStyle w:val="0"/>
        <w:spacing w:before="200" w:line-rule="auto"/>
        <w:ind w:firstLine="540"/>
        <w:jc w:val="both"/>
      </w:pPr>
      <w:r>
        <w:rPr>
          <w:sz w:val="20"/>
        </w:rPr>
        <w:t xml:space="preserve">Показатели и критерии оценки результатов работы для решения вопроса о премировании работников устанавливаются локальными нормативными актами учреждения, принимаемыми с учетом мнения представительного органа работников.</w:t>
      </w:r>
    </w:p>
    <w:p>
      <w:pPr>
        <w:pStyle w:val="0"/>
        <w:spacing w:before="200" w:line-rule="auto"/>
        <w:ind w:firstLine="540"/>
        <w:jc w:val="both"/>
      </w:pPr>
      <w:r>
        <w:rPr>
          <w:sz w:val="20"/>
        </w:rPr>
        <w:t xml:space="preserve">Конкретный размер премии может быть определен как в процентах от сдельного заработка, так и в абсолютном размере.</w:t>
      </w:r>
    </w:p>
    <w:p>
      <w:pPr>
        <w:pStyle w:val="0"/>
        <w:spacing w:before="200" w:line-rule="auto"/>
        <w:ind w:firstLine="540"/>
        <w:jc w:val="both"/>
      </w:pPr>
      <w:r>
        <w:rPr>
          <w:sz w:val="20"/>
        </w:rPr>
        <w:t xml:space="preserve">Премирование работников производится на основании приказа (распоряжения) руководителя учреждения.</w:t>
      </w:r>
    </w:p>
    <w:p>
      <w:pPr>
        <w:pStyle w:val="0"/>
        <w:jc w:val="both"/>
      </w:pPr>
      <w:r>
        <w:rPr>
          <w:sz w:val="20"/>
        </w:rPr>
        <w:t xml:space="preserve">(п. 8.10 в ред. </w:t>
      </w:r>
      <w:hyperlink w:history="0" r:id="rId107"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27.06.2017 N 408)</w:t>
      </w:r>
    </w:p>
    <w:p>
      <w:pPr>
        <w:pStyle w:val="0"/>
        <w:spacing w:before="200" w:line-rule="auto"/>
        <w:ind w:firstLine="540"/>
        <w:jc w:val="both"/>
      </w:pPr>
      <w:r>
        <w:rPr>
          <w:sz w:val="20"/>
        </w:rPr>
        <w:t xml:space="preserve">8.11. Другие выплаты компенсационного и стимулирующего характера работникам со сдельной оплатой труда устанавливаются в соответствии с </w:t>
      </w:r>
      <w:hyperlink w:history="0" w:anchor="P113" w:tooltip="3. Выплаты компенсационного характера">
        <w:r>
          <w:rPr>
            <w:sz w:val="20"/>
            <w:color w:val="0000ff"/>
          </w:rPr>
          <w:t xml:space="preserve">разделом 3</w:t>
        </w:r>
      </w:hyperlink>
      <w:r>
        <w:rPr>
          <w:sz w:val="20"/>
        </w:rPr>
        <w:t xml:space="preserve"> и </w:t>
      </w:r>
      <w:hyperlink w:history="0" w:anchor="P160" w:tooltip="4. Выплаты стимулирующего характера">
        <w:r>
          <w:rPr>
            <w:sz w:val="20"/>
            <w:color w:val="0000ff"/>
          </w:rPr>
          <w:t xml:space="preserve">4</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320" w:name="P320"/>
    <w:bookmarkEnd w:id="320"/>
    <w:p>
      <w:pPr>
        <w:pStyle w:val="2"/>
        <w:jc w:val="center"/>
      </w:pPr>
      <w:r>
        <w:rPr>
          <w:sz w:val="20"/>
        </w:rPr>
        <w:t xml:space="preserve">ДОЛЖНОСТНЫЕ ОКЛАДЫ</w:t>
      </w:r>
    </w:p>
    <w:p>
      <w:pPr>
        <w:pStyle w:val="2"/>
        <w:jc w:val="center"/>
      </w:pPr>
      <w:r>
        <w:rPr>
          <w:sz w:val="20"/>
        </w:rPr>
        <w:t xml:space="preserve">ПО ДОЛЖНОСТЯМ МЕДИЦИНСКИХ И ФАРМАЦЕВТИЧЕСКИХ РАБОТНИКОВ</w:t>
      </w:r>
    </w:p>
    <w:p>
      <w:pPr>
        <w:pStyle w:val="2"/>
        <w:jc w:val="center"/>
      </w:pPr>
      <w:r>
        <w:rPr>
          <w:sz w:val="20"/>
        </w:rPr>
        <w:t xml:space="preserve">УЧРЕЖДЕНИЙ, ОТНЕСЕННЫМ К СООТВЕТСТВУЮЩИМ ПРОФЕССИОНАЛЬНЫМ</w:t>
      </w:r>
    </w:p>
    <w:p>
      <w:pPr>
        <w:pStyle w:val="2"/>
        <w:jc w:val="center"/>
      </w:pPr>
      <w:r>
        <w:rPr>
          <w:sz w:val="20"/>
        </w:rPr>
        <w:t xml:space="preserve">КВАЛИФИКАЦИОННЫМ ГРУППАМ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22.05.2019 </w:t>
            </w:r>
            <w:hyperlink w:history="0" r:id="rId108"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25.10.2023 </w:t>
            </w:r>
            <w:hyperlink w:history="0" r:id="rId109"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853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472"/>
        <w:gridCol w:w="1559"/>
        <w:gridCol w:w="3175"/>
        <w:gridCol w:w="1814"/>
      </w:tblGrid>
      <w:tr>
        <w:tblPrEx>
          <w:tblBorders>
            <w:left w:val="single" w:sz="4"/>
            <w:right w:val="single" w:sz="4"/>
            <w:insideV w:val="single" w:sz="4"/>
            <w:insideH w:val="single" w:sz="4"/>
          </w:tblBorders>
        </w:tblPrEx>
        <w:tc>
          <w:tcPr>
            <w:tcW w:w="2472" w:type="dxa"/>
            <w:tcBorders>
              <w:top w:val="single" w:sz="4"/>
              <w:bottom w:val="single" w:sz="4"/>
            </w:tcBorders>
          </w:tcPr>
          <w:p>
            <w:pPr>
              <w:pStyle w:val="0"/>
              <w:jc w:val="center"/>
            </w:pPr>
            <w:r>
              <w:rPr>
                <w:sz w:val="20"/>
              </w:rPr>
              <w:t xml:space="preserve">Наименование профессиональной квалификационной группы</w:t>
            </w:r>
          </w:p>
        </w:tc>
        <w:tc>
          <w:tcPr>
            <w:tcW w:w="1559" w:type="dxa"/>
            <w:tcBorders>
              <w:top w:val="single" w:sz="4"/>
              <w:bottom w:val="single" w:sz="4"/>
            </w:tcBorders>
          </w:tcPr>
          <w:p>
            <w:pPr>
              <w:pStyle w:val="0"/>
              <w:jc w:val="center"/>
            </w:pPr>
            <w:r>
              <w:rPr>
                <w:sz w:val="20"/>
              </w:rPr>
              <w:t xml:space="preserve">Квалификационный уровень</w:t>
            </w:r>
          </w:p>
        </w:tc>
        <w:tc>
          <w:tcPr>
            <w:tcW w:w="3175" w:type="dxa"/>
            <w:tcBorders>
              <w:top w:val="single" w:sz="4"/>
              <w:bottom w:val="single" w:sz="4"/>
            </w:tcBorders>
          </w:tcPr>
          <w:p>
            <w:pPr>
              <w:pStyle w:val="0"/>
              <w:jc w:val="center"/>
            </w:pPr>
            <w:r>
              <w:rPr>
                <w:sz w:val="20"/>
              </w:rPr>
              <w:t xml:space="preserve">Наименование должности</w:t>
            </w:r>
          </w:p>
        </w:tc>
        <w:tc>
          <w:tcPr>
            <w:tcW w:w="1814" w:type="dxa"/>
            <w:tcBorders>
              <w:top w:val="single" w:sz="4"/>
              <w:bottom w:val="single" w:sz="4"/>
            </w:tcBorders>
          </w:tcPr>
          <w:p>
            <w:pPr>
              <w:pStyle w:val="0"/>
              <w:jc w:val="center"/>
            </w:pPr>
            <w:r>
              <w:rPr>
                <w:sz w:val="20"/>
              </w:rPr>
              <w:t xml:space="preserve">Должностной оклад, рублей</w:t>
            </w:r>
          </w:p>
        </w:tc>
      </w:tr>
      <w:tr>
        <w:tc>
          <w:tcPr>
            <w:tcW w:w="2472" w:type="dxa"/>
            <w:tcBorders>
              <w:top w:val="single" w:sz="4"/>
              <w:left w:val="nil"/>
              <w:bottom w:val="nil"/>
              <w:right w:val="nil"/>
            </w:tcBorders>
          </w:tcPr>
          <w:p>
            <w:pPr>
              <w:pStyle w:val="0"/>
            </w:pPr>
            <w:r>
              <w:rPr>
                <w:sz w:val="20"/>
              </w:rPr>
              <w:t xml:space="preserve">Медицинский и фармацевтический персонал первого уровня</w:t>
            </w:r>
          </w:p>
        </w:tc>
        <w:tc>
          <w:tcPr>
            <w:tcW w:w="1559" w:type="dxa"/>
            <w:tcBorders>
              <w:top w:val="single" w:sz="4"/>
              <w:left w:val="nil"/>
              <w:bottom w:val="nil"/>
              <w:right w:val="nil"/>
            </w:tcBorders>
          </w:tcPr>
          <w:p>
            <w:pPr>
              <w:pStyle w:val="0"/>
              <w:jc w:val="center"/>
            </w:pPr>
            <w:r>
              <w:rPr>
                <w:sz w:val="20"/>
              </w:rPr>
              <w:t xml:space="preserve">1</w:t>
            </w:r>
          </w:p>
        </w:tc>
        <w:tc>
          <w:tcPr>
            <w:tcW w:w="3175" w:type="dxa"/>
            <w:tcBorders>
              <w:top w:val="single" w:sz="4"/>
              <w:left w:val="nil"/>
              <w:bottom w:val="nil"/>
              <w:right w:val="nil"/>
            </w:tcBorders>
          </w:tcPr>
          <w:p>
            <w:pPr>
              <w:pStyle w:val="0"/>
            </w:pPr>
            <w:r>
              <w:rPr>
                <w:sz w:val="20"/>
              </w:rPr>
              <w:t xml:space="preserve">Санитарка; санитарка (мойщица); младшая медицинская сестра по уходу за больными; сестра-хозяйка; фасовщица</w:t>
            </w:r>
          </w:p>
        </w:tc>
        <w:tc>
          <w:tcPr>
            <w:tcW w:w="1814" w:type="dxa"/>
            <w:tcBorders>
              <w:top w:val="single" w:sz="4"/>
              <w:left w:val="nil"/>
              <w:bottom w:val="nil"/>
              <w:right w:val="nil"/>
            </w:tcBorders>
          </w:tcPr>
          <w:p>
            <w:pPr>
              <w:pStyle w:val="0"/>
              <w:jc w:val="center"/>
            </w:pPr>
            <w:r>
              <w:rPr>
                <w:sz w:val="20"/>
              </w:rPr>
              <w:t xml:space="preserve">9 500</w:t>
            </w:r>
          </w:p>
        </w:tc>
      </w:tr>
      <w:tr>
        <w:tc>
          <w:tcPr>
            <w:tcW w:w="2472" w:type="dxa"/>
            <w:tcBorders>
              <w:top w:val="nil"/>
              <w:left w:val="nil"/>
              <w:bottom w:val="nil"/>
              <w:right w:val="nil"/>
            </w:tcBorders>
          </w:tcPr>
          <w:p>
            <w:pPr>
              <w:pStyle w:val="0"/>
            </w:pPr>
            <w:r>
              <w:rPr>
                <w:sz w:val="20"/>
              </w:rPr>
              <w:t xml:space="preserve">Средний медицинский и фармацевтический персонал</w:t>
            </w:r>
          </w:p>
        </w:tc>
        <w:tc>
          <w:tcPr>
            <w:tcW w:w="1559"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814" w:type="dxa"/>
            <w:tcBorders>
              <w:top w:val="nil"/>
              <w:left w:val="nil"/>
              <w:bottom w:val="nil"/>
              <w:right w:val="nil"/>
            </w:tcBorders>
          </w:tcPr>
          <w:p>
            <w:pPr>
              <w:pStyle w:val="0"/>
              <w:jc w:val="center"/>
            </w:pPr>
            <w:r>
              <w:rPr>
                <w:sz w:val="20"/>
              </w:rPr>
              <w:t xml:space="preserve">10 500</w:t>
            </w:r>
          </w:p>
        </w:tc>
      </w:tr>
      <w:tr>
        <w:tc>
          <w:tcPr>
            <w:tcW w:w="2472" w:type="dxa"/>
            <w:tcBorders>
              <w:top w:val="nil"/>
              <w:left w:val="nil"/>
              <w:bottom w:val="nil"/>
              <w:right w:val="nil"/>
            </w:tcBorders>
          </w:tcPr>
          <w:p>
            <w:pPr>
              <w:pStyle w:val="0"/>
            </w:pPr>
            <w:r>
              <w:rPr>
                <w:sz w:val="20"/>
              </w:rPr>
              <w:t xml:space="preserve">Средний медицинский и фармацевтический персонал</w:t>
            </w:r>
          </w:p>
        </w:tc>
        <w:tc>
          <w:tcPr>
            <w:tcW w:w="1559"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814" w:type="dxa"/>
            <w:tcBorders>
              <w:top w:val="nil"/>
              <w:left w:val="nil"/>
              <w:bottom w:val="nil"/>
              <w:right w:val="nil"/>
            </w:tcBorders>
          </w:tcPr>
          <w:p>
            <w:pPr>
              <w:pStyle w:val="0"/>
              <w:jc w:val="center"/>
            </w:pPr>
            <w:r>
              <w:rPr>
                <w:sz w:val="20"/>
              </w:rPr>
              <w:t xml:space="preserve">11 200</w:t>
            </w:r>
          </w:p>
        </w:tc>
      </w:tr>
      <w:tr>
        <w:tc>
          <w:tcPr>
            <w:tcW w:w="2472" w:type="dxa"/>
            <w:tcBorders>
              <w:top w:val="nil"/>
              <w:left w:val="nil"/>
              <w:bottom w:val="nil"/>
              <w:right w:val="nil"/>
            </w:tcBorders>
          </w:tcPr>
          <w:p>
            <w:pPr>
              <w:pStyle w:val="0"/>
            </w:pPr>
            <w:r>
              <w:rPr>
                <w:sz w:val="20"/>
              </w:rPr>
              <w:t xml:space="preserve">Средний медицинский и фармацевтический персонал</w:t>
            </w:r>
          </w:p>
        </w:tc>
        <w:tc>
          <w:tcPr>
            <w:tcW w:w="1559"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оптик-оптометрист</w:t>
            </w:r>
          </w:p>
        </w:tc>
        <w:tc>
          <w:tcPr>
            <w:tcW w:w="1814" w:type="dxa"/>
            <w:tcBorders>
              <w:top w:val="nil"/>
              <w:left w:val="nil"/>
              <w:bottom w:val="nil"/>
              <w:right w:val="nil"/>
            </w:tcBorders>
          </w:tcPr>
          <w:p>
            <w:pPr>
              <w:pStyle w:val="0"/>
              <w:jc w:val="center"/>
            </w:pPr>
            <w:r>
              <w:rPr>
                <w:sz w:val="20"/>
              </w:rPr>
              <w:t xml:space="preserve">11 800</w:t>
            </w:r>
          </w:p>
        </w:tc>
      </w:tr>
      <w:tr>
        <w:tc>
          <w:tcPr>
            <w:tcW w:w="2472" w:type="dxa"/>
            <w:tcBorders>
              <w:top w:val="nil"/>
              <w:left w:val="nil"/>
              <w:bottom w:val="nil"/>
              <w:right w:val="nil"/>
            </w:tcBorders>
          </w:tcPr>
          <w:p>
            <w:pPr>
              <w:pStyle w:val="0"/>
            </w:pPr>
            <w:r>
              <w:rPr>
                <w:sz w:val="20"/>
              </w:rPr>
              <w:t xml:space="preserve">Средний медицинский и фармацевтический персонал</w:t>
            </w:r>
          </w:p>
        </w:tc>
        <w:tc>
          <w:tcPr>
            <w:tcW w:w="1559"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Акушерка; фельдшер; операционная медицинская сестра; медицинская сестра-анестезист;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814" w:type="dxa"/>
            <w:tcBorders>
              <w:top w:val="nil"/>
              <w:left w:val="nil"/>
              <w:bottom w:val="nil"/>
              <w:right w:val="nil"/>
            </w:tcBorders>
          </w:tcPr>
          <w:p>
            <w:pPr>
              <w:pStyle w:val="0"/>
              <w:jc w:val="center"/>
            </w:pPr>
            <w:r>
              <w:rPr>
                <w:sz w:val="20"/>
              </w:rPr>
              <w:t xml:space="preserve">12 300</w:t>
            </w:r>
          </w:p>
        </w:tc>
      </w:tr>
      <w:tr>
        <w:tc>
          <w:tcPr>
            <w:tcW w:w="2472" w:type="dxa"/>
            <w:tcBorders>
              <w:top w:val="nil"/>
              <w:left w:val="nil"/>
              <w:bottom w:val="nil"/>
              <w:right w:val="nil"/>
            </w:tcBorders>
          </w:tcPr>
          <w:p>
            <w:pPr>
              <w:pStyle w:val="0"/>
            </w:pPr>
            <w:r>
              <w:rPr>
                <w:sz w:val="20"/>
              </w:rPr>
              <w:t xml:space="preserve">Средний медицинский и фармацевтический персонал</w:t>
            </w:r>
          </w:p>
        </w:tc>
        <w:tc>
          <w:tcPr>
            <w:tcW w:w="1559"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814" w:type="dxa"/>
            <w:tcBorders>
              <w:top w:val="nil"/>
              <w:left w:val="nil"/>
              <w:bottom w:val="nil"/>
              <w:right w:val="nil"/>
            </w:tcBorders>
          </w:tcPr>
          <w:p>
            <w:pPr>
              <w:pStyle w:val="0"/>
              <w:jc w:val="center"/>
            </w:pPr>
            <w:r>
              <w:rPr>
                <w:sz w:val="20"/>
              </w:rPr>
              <w:t xml:space="preserve">13 300</w:t>
            </w:r>
          </w:p>
        </w:tc>
      </w:tr>
      <w:tr>
        <w:tc>
          <w:tcPr>
            <w:tcW w:w="2472" w:type="dxa"/>
            <w:tcBorders>
              <w:top w:val="nil"/>
              <w:left w:val="nil"/>
              <w:bottom w:val="nil"/>
              <w:right w:val="nil"/>
            </w:tcBorders>
          </w:tcPr>
          <w:p>
            <w:pPr>
              <w:pStyle w:val="0"/>
            </w:pPr>
            <w:r>
              <w:rPr>
                <w:sz w:val="20"/>
              </w:rPr>
              <w:t xml:space="preserve">Врачи и провизоры</w:t>
            </w:r>
          </w:p>
        </w:tc>
        <w:tc>
          <w:tcPr>
            <w:tcW w:w="1559"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Врач-стажер; провизор-стажер</w:t>
            </w:r>
          </w:p>
        </w:tc>
        <w:tc>
          <w:tcPr>
            <w:tcW w:w="1814" w:type="dxa"/>
            <w:tcBorders>
              <w:top w:val="nil"/>
              <w:left w:val="nil"/>
              <w:bottom w:val="nil"/>
              <w:right w:val="nil"/>
            </w:tcBorders>
          </w:tcPr>
          <w:p>
            <w:pPr>
              <w:pStyle w:val="0"/>
              <w:jc w:val="center"/>
            </w:pPr>
            <w:r>
              <w:rPr>
                <w:sz w:val="20"/>
              </w:rPr>
              <w:t xml:space="preserve">14 200</w:t>
            </w:r>
          </w:p>
        </w:tc>
      </w:tr>
      <w:tr>
        <w:tc>
          <w:tcPr>
            <w:tcW w:w="2472" w:type="dxa"/>
            <w:tcBorders>
              <w:top w:val="nil"/>
              <w:left w:val="nil"/>
              <w:bottom w:val="nil"/>
              <w:right w:val="nil"/>
            </w:tcBorders>
          </w:tcPr>
          <w:p>
            <w:pPr>
              <w:pStyle w:val="0"/>
            </w:pPr>
            <w:r>
              <w:rPr>
                <w:sz w:val="20"/>
              </w:rPr>
              <w:t xml:space="preserve">Врачи и провизоры</w:t>
            </w:r>
          </w:p>
        </w:tc>
        <w:tc>
          <w:tcPr>
            <w:tcW w:w="1559"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Врачи-специалисты (кроме врачей-специалистов, отнесенных к 3-му и 4-му квалификационным уровням); провизор-технолог; провизор-аналитик</w:t>
            </w:r>
          </w:p>
        </w:tc>
        <w:tc>
          <w:tcPr>
            <w:tcW w:w="1814" w:type="dxa"/>
            <w:tcBorders>
              <w:top w:val="nil"/>
              <w:left w:val="nil"/>
              <w:bottom w:val="nil"/>
              <w:right w:val="nil"/>
            </w:tcBorders>
          </w:tcPr>
          <w:p>
            <w:pPr>
              <w:pStyle w:val="0"/>
              <w:jc w:val="center"/>
            </w:pPr>
            <w:r>
              <w:rPr>
                <w:sz w:val="20"/>
              </w:rPr>
              <w:t xml:space="preserve">17 000</w:t>
            </w:r>
          </w:p>
        </w:tc>
      </w:tr>
      <w:tr>
        <w:tc>
          <w:tcPr>
            <w:tcW w:w="2472" w:type="dxa"/>
            <w:tcBorders>
              <w:top w:val="nil"/>
              <w:left w:val="nil"/>
              <w:bottom w:val="nil"/>
              <w:right w:val="nil"/>
            </w:tcBorders>
          </w:tcPr>
          <w:p>
            <w:pPr>
              <w:pStyle w:val="0"/>
            </w:pPr>
            <w:r>
              <w:rPr>
                <w:sz w:val="20"/>
              </w:rPr>
              <w:t xml:space="preserve">Врачи и провизоры</w:t>
            </w:r>
          </w:p>
        </w:tc>
        <w:tc>
          <w:tcPr>
            <w:tcW w:w="1559"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(кроме врачей-специалистов, отнесенных к 4-му квалификационному уровню); врачи-терапевты участковые; врачи-педиатры участковые; врачи общей практики (семейные врачи)</w:t>
            </w:r>
          </w:p>
        </w:tc>
        <w:tc>
          <w:tcPr>
            <w:tcW w:w="1814" w:type="dxa"/>
            <w:tcBorders>
              <w:top w:val="nil"/>
              <w:left w:val="nil"/>
              <w:bottom w:val="nil"/>
              <w:right w:val="nil"/>
            </w:tcBorders>
          </w:tcPr>
          <w:p>
            <w:pPr>
              <w:pStyle w:val="0"/>
              <w:jc w:val="center"/>
            </w:pPr>
            <w:r>
              <w:rPr>
                <w:sz w:val="20"/>
              </w:rPr>
              <w:t xml:space="preserve">18 000</w:t>
            </w:r>
          </w:p>
        </w:tc>
      </w:tr>
      <w:tr>
        <w:tc>
          <w:tcPr>
            <w:tcW w:w="2472" w:type="dxa"/>
            <w:tcBorders>
              <w:top w:val="nil"/>
              <w:left w:val="nil"/>
              <w:bottom w:val="nil"/>
              <w:right w:val="nil"/>
            </w:tcBorders>
          </w:tcPr>
          <w:p>
            <w:pPr>
              <w:pStyle w:val="0"/>
            </w:pPr>
            <w:r>
              <w:rPr>
                <w:sz w:val="20"/>
              </w:rPr>
              <w:t xml:space="preserve">Врачи и провизоры</w:t>
            </w:r>
          </w:p>
        </w:tc>
        <w:tc>
          <w:tcPr>
            <w:tcW w:w="1559"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Врачи-специалисты хирургического профиля, оперирующие в стационарах лечебно-профилактических учреждений; старший врач; старший провизор; врач - анестезиолог-реаниматолог; врач-патологоанатом; врач - судебно-медицинский эксперт</w:t>
            </w:r>
          </w:p>
        </w:tc>
        <w:tc>
          <w:tcPr>
            <w:tcW w:w="1814" w:type="dxa"/>
            <w:tcBorders>
              <w:top w:val="nil"/>
              <w:left w:val="nil"/>
              <w:bottom w:val="nil"/>
              <w:right w:val="nil"/>
            </w:tcBorders>
          </w:tcPr>
          <w:p>
            <w:pPr>
              <w:pStyle w:val="0"/>
              <w:jc w:val="center"/>
            </w:pPr>
            <w:r>
              <w:rPr>
                <w:sz w:val="20"/>
              </w:rPr>
              <w:t xml:space="preserve">19 000</w:t>
            </w:r>
          </w:p>
        </w:tc>
      </w:tr>
      <w:tr>
        <w:tc>
          <w:tcPr>
            <w:tcW w:w="2472" w:type="dxa"/>
            <w:tcBorders>
              <w:top w:val="nil"/>
              <w:left w:val="nil"/>
              <w:bottom w:val="nil"/>
              <w:right w:val="nil"/>
            </w:tcBorders>
          </w:tcPr>
          <w:p>
            <w:pPr>
              <w:pStyle w:val="0"/>
            </w:pPr>
            <w:r>
              <w:rPr>
                <w:sz w:val="20"/>
              </w:rPr>
              <w:t xml:space="preserve">Руководители структурных подразделений учреждений с высшим медицинским и фармацевтическим образованием (врач-специалист, провизор)</w:t>
            </w:r>
          </w:p>
        </w:tc>
        <w:tc>
          <w:tcPr>
            <w:tcW w:w="1559"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Заведующий структурным подразделением (отделом, отделением, лабораторией, кабинетом, отрядом и др.), кроме заведующих отделениями хирургического профиля стационаров;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1814" w:type="dxa"/>
            <w:tcBorders>
              <w:top w:val="nil"/>
              <w:left w:val="nil"/>
              <w:bottom w:val="nil"/>
              <w:right w:val="nil"/>
            </w:tcBorders>
          </w:tcPr>
          <w:p>
            <w:pPr>
              <w:pStyle w:val="0"/>
              <w:jc w:val="center"/>
            </w:pPr>
            <w:r>
              <w:rPr>
                <w:sz w:val="20"/>
              </w:rPr>
              <w:t xml:space="preserve">21 000</w:t>
            </w:r>
          </w:p>
        </w:tc>
      </w:tr>
      <w:tr>
        <w:tc>
          <w:tcPr>
            <w:tcW w:w="2472" w:type="dxa"/>
            <w:tcBorders>
              <w:top w:val="nil"/>
              <w:left w:val="nil"/>
              <w:bottom w:val="nil"/>
              <w:right w:val="nil"/>
            </w:tcBorders>
          </w:tcPr>
          <w:p>
            <w:pPr>
              <w:pStyle w:val="0"/>
            </w:pPr>
            <w:r>
              <w:rPr>
                <w:sz w:val="20"/>
              </w:rPr>
              <w:t xml:space="preserve">Руководители структурных подразделений учреждений с высшим медицинским и фармацевтическим образованием (врач-специалист, провизор)</w:t>
            </w:r>
          </w:p>
        </w:tc>
        <w:tc>
          <w:tcPr>
            <w:tcW w:w="1559"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Заведующий отделением хирургического профиля стационаров (анестезиологии-реанимации, реанимации и интенсивной терапии, патологоанатомических, судебно-медицинской экспертизы)</w:t>
            </w:r>
          </w:p>
        </w:tc>
        <w:tc>
          <w:tcPr>
            <w:tcW w:w="1814" w:type="dxa"/>
            <w:tcBorders>
              <w:top w:val="nil"/>
              <w:left w:val="nil"/>
              <w:bottom w:val="nil"/>
              <w:right w:val="nil"/>
            </w:tcBorders>
          </w:tcPr>
          <w:p>
            <w:pPr>
              <w:pStyle w:val="0"/>
              <w:jc w:val="center"/>
            </w:pPr>
            <w:r>
              <w:rPr>
                <w:sz w:val="20"/>
              </w:rPr>
              <w:t xml:space="preserve">24 000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393" w:name="P393"/>
    <w:bookmarkEnd w:id="393"/>
    <w:p>
      <w:pPr>
        <w:pStyle w:val="2"/>
        <w:jc w:val="center"/>
      </w:pPr>
      <w:r>
        <w:rPr>
          <w:sz w:val="20"/>
        </w:rPr>
        <w:t xml:space="preserve">ДОЛЖНОСТНЫЕ ОКЛАДЫ</w:t>
      </w:r>
    </w:p>
    <w:p>
      <w:pPr>
        <w:pStyle w:val="2"/>
        <w:jc w:val="center"/>
      </w:pPr>
      <w:r>
        <w:rPr>
          <w:sz w:val="20"/>
        </w:rPr>
        <w:t xml:space="preserve">ПО ДОЛЖНОСТЯМ МЕДИЦИНСКИХ И ФАРМАЦЕВТИЧЕСКИХ РАБОТНИКОВ</w:t>
      </w:r>
    </w:p>
    <w:p>
      <w:pPr>
        <w:pStyle w:val="2"/>
        <w:jc w:val="center"/>
      </w:pPr>
      <w:r>
        <w:rPr>
          <w:sz w:val="20"/>
        </w:rPr>
        <w:t xml:space="preserve">УЧРЕЖДЕНИЙ, ДОЛЖНОСТИ КОТОРЫХ НЕ ОТНЕСЕНЫ К ПРОФЕССИОНАЛЬНЫМ</w:t>
      </w:r>
    </w:p>
    <w:p>
      <w:pPr>
        <w:pStyle w:val="2"/>
        <w:jc w:val="center"/>
      </w:pPr>
      <w:r>
        <w:rPr>
          <w:sz w:val="20"/>
        </w:rPr>
        <w:t xml:space="preserve">КВАЛИФИКАЦИОННЫМ ГРУППАМ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0"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Постановлением</w:t>
              </w:r>
            </w:hyperlink>
            <w:r>
              <w:rPr>
                <w:sz w:val="20"/>
                <w:color w:val="392c69"/>
              </w:rPr>
              <w:t xml:space="preserve"> Правительства Самарской области</w:t>
            </w:r>
          </w:p>
          <w:p>
            <w:pPr>
              <w:pStyle w:val="0"/>
              <w:jc w:val="center"/>
            </w:pPr>
            <w:r>
              <w:rPr>
                <w:sz w:val="20"/>
                <w:color w:val="392c69"/>
              </w:rPr>
              <w:t xml:space="preserve">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521"/>
        <w:gridCol w:w="2438"/>
      </w:tblGrid>
      <w:tr>
        <w:tblPrEx>
          <w:tblBorders>
            <w:left w:val="single" w:sz="4"/>
            <w:right w:val="single" w:sz="4"/>
            <w:insideV w:val="single" w:sz="4"/>
            <w:insideH w:val="single" w:sz="4"/>
          </w:tblBorders>
        </w:tblPrEx>
        <w:tc>
          <w:tcPr>
            <w:tcW w:w="6521" w:type="dxa"/>
            <w:tcBorders>
              <w:top w:val="single" w:sz="4"/>
              <w:bottom w:val="single" w:sz="4"/>
            </w:tcBorders>
          </w:tcPr>
          <w:p>
            <w:pPr>
              <w:pStyle w:val="0"/>
              <w:jc w:val="center"/>
            </w:pPr>
            <w:r>
              <w:rPr>
                <w:sz w:val="20"/>
              </w:rPr>
              <w:t xml:space="preserve">Наименование должности</w:t>
            </w:r>
          </w:p>
        </w:tc>
        <w:tc>
          <w:tcPr>
            <w:tcW w:w="2438" w:type="dxa"/>
            <w:tcBorders>
              <w:top w:val="single" w:sz="4"/>
              <w:bottom w:val="single" w:sz="4"/>
            </w:tcBorders>
          </w:tcPr>
          <w:p>
            <w:pPr>
              <w:pStyle w:val="0"/>
              <w:jc w:val="center"/>
            </w:pPr>
            <w:r>
              <w:rPr>
                <w:sz w:val="20"/>
              </w:rPr>
              <w:t xml:space="preserve">Должностной оклад, рублей</w:t>
            </w:r>
          </w:p>
        </w:tc>
      </w:tr>
      <w:tr>
        <w:tc>
          <w:tcPr>
            <w:tcW w:w="6521" w:type="dxa"/>
            <w:tcBorders>
              <w:top w:val="single" w:sz="4"/>
              <w:left w:val="nil"/>
              <w:bottom w:val="nil"/>
              <w:right w:val="nil"/>
            </w:tcBorders>
          </w:tcPr>
          <w:p>
            <w:pPr>
              <w:pStyle w:val="0"/>
              <w:jc w:val="both"/>
            </w:pPr>
            <w:r>
              <w:rPr>
                <w:sz w:val="20"/>
              </w:rPr>
              <w:t xml:space="preserve">Медицинская сестра по медицинской реабилитации (медицинский брат по медицинской реабилитации)</w:t>
            </w:r>
          </w:p>
        </w:tc>
        <w:tc>
          <w:tcPr>
            <w:tcW w:w="2438" w:type="dxa"/>
            <w:tcBorders>
              <w:top w:val="single" w:sz="4"/>
              <w:left w:val="nil"/>
              <w:bottom w:val="nil"/>
              <w:right w:val="nil"/>
            </w:tcBorders>
          </w:tcPr>
          <w:p>
            <w:pPr>
              <w:pStyle w:val="0"/>
              <w:jc w:val="center"/>
            </w:pPr>
            <w:r>
              <w:rPr>
                <w:sz w:val="20"/>
              </w:rPr>
              <w:t xml:space="preserve">11 800</w:t>
            </w:r>
          </w:p>
        </w:tc>
      </w:tr>
      <w:tr>
        <w:tc>
          <w:tcPr>
            <w:tcW w:w="6521" w:type="dxa"/>
            <w:tcBorders>
              <w:top w:val="nil"/>
              <w:left w:val="nil"/>
              <w:bottom w:val="nil"/>
              <w:right w:val="nil"/>
            </w:tcBorders>
          </w:tcPr>
          <w:p>
            <w:pPr>
              <w:pStyle w:val="0"/>
              <w:jc w:val="both"/>
            </w:pPr>
            <w:r>
              <w:rPr>
                <w:sz w:val="20"/>
              </w:rPr>
              <w:t xml:space="preserve">Медицинская сестра по функциональной диагностике (медицинский брат по функциональной диагностике)</w:t>
            </w:r>
          </w:p>
        </w:tc>
        <w:tc>
          <w:tcPr>
            <w:tcW w:w="2438" w:type="dxa"/>
            <w:tcBorders>
              <w:top w:val="nil"/>
              <w:left w:val="nil"/>
              <w:bottom w:val="nil"/>
              <w:right w:val="nil"/>
            </w:tcBorders>
          </w:tcPr>
          <w:p>
            <w:pPr>
              <w:pStyle w:val="0"/>
              <w:jc w:val="center"/>
            </w:pPr>
            <w:r>
              <w:rPr>
                <w:sz w:val="20"/>
              </w:rPr>
              <w:t xml:space="preserve">11 800</w:t>
            </w:r>
          </w:p>
        </w:tc>
      </w:tr>
      <w:tr>
        <w:tc>
          <w:tcPr>
            <w:tcW w:w="6521" w:type="dxa"/>
            <w:tcBorders>
              <w:top w:val="nil"/>
              <w:left w:val="nil"/>
              <w:bottom w:val="nil"/>
              <w:right w:val="nil"/>
            </w:tcBorders>
          </w:tcPr>
          <w:p>
            <w:pPr>
              <w:pStyle w:val="0"/>
              <w:jc w:val="both"/>
            </w:pPr>
            <w:r>
              <w:rPr>
                <w:sz w:val="20"/>
              </w:rPr>
              <w:t xml:space="preserve">Старший лаборант (медицинский лабораторный техник (фельдшер-лаборант), медицинский технолог)</w:t>
            </w:r>
          </w:p>
        </w:tc>
        <w:tc>
          <w:tcPr>
            <w:tcW w:w="2438" w:type="dxa"/>
            <w:tcBorders>
              <w:top w:val="nil"/>
              <w:left w:val="nil"/>
              <w:bottom w:val="nil"/>
              <w:right w:val="nil"/>
            </w:tcBorders>
          </w:tcPr>
          <w:p>
            <w:pPr>
              <w:pStyle w:val="0"/>
              <w:jc w:val="center"/>
            </w:pPr>
            <w:r>
              <w:rPr>
                <w:sz w:val="20"/>
              </w:rPr>
              <w:t xml:space="preserve">13 300</w:t>
            </w:r>
          </w:p>
        </w:tc>
      </w:tr>
      <w:tr>
        <w:tc>
          <w:tcPr>
            <w:tcW w:w="6521" w:type="dxa"/>
            <w:tcBorders>
              <w:top w:val="nil"/>
              <w:left w:val="nil"/>
              <w:bottom w:val="nil"/>
              <w:right w:val="nil"/>
            </w:tcBorders>
          </w:tcPr>
          <w:p>
            <w:pPr>
              <w:pStyle w:val="0"/>
              <w:jc w:val="both"/>
            </w:pPr>
            <w:r>
              <w:rPr>
                <w:sz w:val="20"/>
              </w:rPr>
              <w:t xml:space="preserve">Специалист по эргореабилитации (эргоспециалист)</w:t>
            </w:r>
          </w:p>
        </w:tc>
        <w:tc>
          <w:tcPr>
            <w:tcW w:w="2438" w:type="dxa"/>
            <w:tcBorders>
              <w:top w:val="nil"/>
              <w:left w:val="nil"/>
              <w:bottom w:val="nil"/>
              <w:right w:val="nil"/>
            </w:tcBorders>
          </w:tcPr>
          <w:p>
            <w:pPr>
              <w:pStyle w:val="0"/>
              <w:jc w:val="center"/>
            </w:pPr>
            <w:r>
              <w:rPr>
                <w:sz w:val="20"/>
              </w:rPr>
              <w:t xml:space="preserve">16 307</w:t>
            </w:r>
          </w:p>
        </w:tc>
      </w:tr>
      <w:tr>
        <w:tc>
          <w:tcPr>
            <w:tcW w:w="6521" w:type="dxa"/>
            <w:tcBorders>
              <w:top w:val="nil"/>
              <w:left w:val="nil"/>
              <w:bottom w:val="nil"/>
              <w:right w:val="nil"/>
            </w:tcBorders>
          </w:tcPr>
          <w:p>
            <w:pPr>
              <w:pStyle w:val="0"/>
              <w:jc w:val="both"/>
            </w:pPr>
            <w:r>
              <w:rPr>
                <w:sz w:val="20"/>
              </w:rPr>
              <w:t xml:space="preserve">Специалист по физической реабилитации (кинезиоспециалист)</w:t>
            </w:r>
          </w:p>
        </w:tc>
        <w:tc>
          <w:tcPr>
            <w:tcW w:w="2438" w:type="dxa"/>
            <w:tcBorders>
              <w:top w:val="nil"/>
              <w:left w:val="nil"/>
              <w:bottom w:val="nil"/>
              <w:right w:val="nil"/>
            </w:tcBorders>
          </w:tcPr>
          <w:p>
            <w:pPr>
              <w:pStyle w:val="0"/>
              <w:jc w:val="center"/>
            </w:pPr>
            <w:r>
              <w:rPr>
                <w:sz w:val="20"/>
              </w:rPr>
              <w:t xml:space="preserve">17 064</w:t>
            </w:r>
          </w:p>
        </w:tc>
      </w:tr>
      <w:tr>
        <w:tc>
          <w:tcPr>
            <w:tcW w:w="6521" w:type="dxa"/>
            <w:tcBorders>
              <w:top w:val="nil"/>
              <w:left w:val="nil"/>
              <w:bottom w:val="nil"/>
              <w:right w:val="nil"/>
            </w:tcBorders>
          </w:tcPr>
          <w:p>
            <w:pPr>
              <w:pStyle w:val="0"/>
              <w:jc w:val="both"/>
            </w:pPr>
            <w:r>
              <w:rPr>
                <w:sz w:val="20"/>
              </w:rPr>
              <w:t xml:space="preserve">Медицинский логопед</w:t>
            </w:r>
          </w:p>
        </w:tc>
        <w:tc>
          <w:tcPr>
            <w:tcW w:w="2438" w:type="dxa"/>
            <w:tcBorders>
              <w:top w:val="nil"/>
              <w:left w:val="nil"/>
              <w:bottom w:val="nil"/>
              <w:right w:val="nil"/>
            </w:tcBorders>
          </w:tcPr>
          <w:p>
            <w:pPr>
              <w:pStyle w:val="0"/>
              <w:jc w:val="center"/>
            </w:pPr>
            <w:r>
              <w:rPr>
                <w:sz w:val="20"/>
              </w:rPr>
              <w:t xml:space="preserve">17 064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оплате труда работников государственных</w:t>
      </w:r>
    </w:p>
    <w:p>
      <w:pPr>
        <w:pStyle w:val="0"/>
        <w:jc w:val="right"/>
      </w:pPr>
      <w:r>
        <w:rPr>
          <w:sz w:val="20"/>
        </w:rPr>
        <w:t xml:space="preserve">учреждений здравоохранения Самарской области,</w:t>
      </w:r>
    </w:p>
    <w:p>
      <w:pPr>
        <w:pStyle w:val="0"/>
        <w:jc w:val="right"/>
      </w:pPr>
      <w:r>
        <w:rPr>
          <w:sz w:val="20"/>
        </w:rPr>
        <w:t xml:space="preserve">участвующих в эксперименте по апробации</w:t>
      </w:r>
    </w:p>
    <w:p>
      <w:pPr>
        <w:pStyle w:val="0"/>
        <w:jc w:val="right"/>
      </w:pPr>
      <w:r>
        <w:rPr>
          <w:sz w:val="20"/>
        </w:rPr>
        <w:t xml:space="preserve">новой системы оплаты труда</w:t>
      </w:r>
    </w:p>
    <w:p>
      <w:pPr>
        <w:pStyle w:val="0"/>
        <w:jc w:val="both"/>
      </w:pPr>
      <w:r>
        <w:rPr>
          <w:sz w:val="20"/>
        </w:rPr>
      </w:r>
    </w:p>
    <w:bookmarkStart w:id="427" w:name="P427"/>
    <w:bookmarkEnd w:id="427"/>
    <w:p>
      <w:pPr>
        <w:pStyle w:val="2"/>
        <w:jc w:val="center"/>
      </w:pPr>
      <w:r>
        <w:rPr>
          <w:sz w:val="20"/>
        </w:rPr>
        <w:t xml:space="preserve">ДОЛЖНОСТНЫЕ ОКЛАДЫ</w:t>
      </w:r>
    </w:p>
    <w:p>
      <w:pPr>
        <w:pStyle w:val="2"/>
        <w:jc w:val="center"/>
      </w:pPr>
      <w:r>
        <w:rPr>
          <w:sz w:val="20"/>
        </w:rPr>
        <w:t xml:space="preserve">ПО ДОЛЖНОСТЯМ РАБОТНИКОВ УЧРЕЖДЕНИЙ, ЗАНЯТЫХ В СФЕРЕ</w:t>
      </w:r>
    </w:p>
    <w:p>
      <w:pPr>
        <w:pStyle w:val="2"/>
        <w:jc w:val="center"/>
      </w:pPr>
      <w:r>
        <w:rPr>
          <w:sz w:val="20"/>
        </w:rPr>
        <w:t xml:space="preserve">ЗДРАВООХРАНЕНИЯ И ПРЕДОСТАВЛЕНИЯ СОЦИАЛЬНЫХ УСЛУГ, ДОЛЖНОСТИ</w:t>
      </w:r>
    </w:p>
    <w:p>
      <w:pPr>
        <w:pStyle w:val="2"/>
        <w:jc w:val="center"/>
      </w:pPr>
      <w:r>
        <w:rPr>
          <w:sz w:val="20"/>
        </w:rPr>
        <w:t xml:space="preserve">КОТОРЫХ ОТНЕСЕНЫ К ПРОФЕССИОНАЛЬНЫМ КВАЛИФИКАЦИОННЫМ ГРУППАМ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410"/>
        <w:gridCol w:w="1985"/>
        <w:gridCol w:w="1984"/>
        <w:gridCol w:w="1020"/>
        <w:gridCol w:w="1474"/>
      </w:tblGrid>
      <w:tr>
        <w:tblPrEx>
          <w:tblBorders>
            <w:left w:val="single" w:sz="4"/>
            <w:right w:val="single" w:sz="4"/>
            <w:insideV w:val="single" w:sz="4"/>
            <w:insideH w:val="single" w:sz="4"/>
          </w:tblBorders>
        </w:tblPrEx>
        <w:tc>
          <w:tcPr>
            <w:tcW w:w="2410" w:type="dxa"/>
            <w:tcBorders>
              <w:top w:val="single" w:sz="4"/>
              <w:bottom w:val="single" w:sz="4"/>
            </w:tcBorders>
          </w:tcPr>
          <w:p>
            <w:pPr>
              <w:pStyle w:val="0"/>
              <w:jc w:val="center"/>
            </w:pPr>
            <w:r>
              <w:rPr>
                <w:sz w:val="20"/>
              </w:rPr>
              <w:t xml:space="preserve">Наименование профессиональной квалификационной группы</w:t>
            </w:r>
          </w:p>
        </w:tc>
        <w:tc>
          <w:tcPr>
            <w:tcW w:w="1985" w:type="dxa"/>
            <w:tcBorders>
              <w:top w:val="single" w:sz="4"/>
              <w:bottom w:val="single" w:sz="4"/>
            </w:tcBorders>
          </w:tcPr>
          <w:p>
            <w:pPr>
              <w:pStyle w:val="0"/>
              <w:jc w:val="center"/>
            </w:pPr>
            <w:r>
              <w:rPr>
                <w:sz w:val="20"/>
              </w:rPr>
              <w:t xml:space="preserve">Квалификационный уровень</w:t>
            </w:r>
          </w:p>
        </w:tc>
        <w:tc>
          <w:tcPr>
            <w:tcW w:w="1984" w:type="dxa"/>
            <w:tcBorders>
              <w:top w:val="single" w:sz="4"/>
              <w:bottom w:val="single" w:sz="4"/>
            </w:tcBorders>
          </w:tcPr>
          <w:p>
            <w:pPr>
              <w:pStyle w:val="0"/>
              <w:jc w:val="center"/>
            </w:pPr>
            <w:r>
              <w:rPr>
                <w:sz w:val="20"/>
              </w:rPr>
              <w:t xml:space="preserve">Наименование должности</w:t>
            </w:r>
          </w:p>
        </w:tc>
        <w:tc>
          <w:tcPr>
            <w:tcW w:w="1020" w:type="dxa"/>
            <w:tcBorders>
              <w:top w:val="single" w:sz="4"/>
              <w:bottom w:val="single" w:sz="4"/>
            </w:tcBorders>
          </w:tcPr>
          <w:p>
            <w:pPr>
              <w:pStyle w:val="0"/>
              <w:jc w:val="center"/>
            </w:pPr>
            <w:r>
              <w:rPr>
                <w:sz w:val="20"/>
              </w:rPr>
              <w:t xml:space="preserve">Группа по оплате труда руководителей</w:t>
            </w:r>
          </w:p>
        </w:tc>
        <w:tc>
          <w:tcPr>
            <w:tcW w:w="1474" w:type="dxa"/>
            <w:tcBorders>
              <w:top w:val="single" w:sz="4"/>
              <w:bottom w:val="single" w:sz="4"/>
            </w:tcBorders>
          </w:tcPr>
          <w:p>
            <w:pPr>
              <w:pStyle w:val="0"/>
              <w:jc w:val="center"/>
            </w:pPr>
            <w:r>
              <w:rPr>
                <w:sz w:val="20"/>
              </w:rPr>
              <w:t xml:space="preserve">Должностной оклад, рублей</w:t>
            </w:r>
          </w:p>
        </w:tc>
      </w:tr>
      <w:tr>
        <w:tc>
          <w:tcPr>
            <w:tcW w:w="2410" w:type="dxa"/>
            <w:tcBorders>
              <w:top w:val="single" w:sz="4"/>
              <w:left w:val="nil"/>
              <w:bottom w:val="nil"/>
              <w:right w:val="nil"/>
            </w:tcBorders>
          </w:tcPr>
          <w:p>
            <w:pPr>
              <w:pStyle w:val="0"/>
              <w:jc w:val="both"/>
            </w:pPr>
            <w:r>
              <w:rPr>
                <w:sz w:val="20"/>
              </w:rPr>
              <w:t xml:space="preserve">Должности специалистов второго уровня, осуществляющих предоставление социальных услуг</w:t>
            </w:r>
          </w:p>
        </w:tc>
        <w:tc>
          <w:tcPr>
            <w:tcW w:w="1985" w:type="dxa"/>
            <w:tcBorders>
              <w:top w:val="single" w:sz="4"/>
              <w:left w:val="nil"/>
              <w:bottom w:val="nil"/>
              <w:right w:val="nil"/>
            </w:tcBorders>
          </w:tcPr>
          <w:p>
            <w:pPr>
              <w:pStyle w:val="0"/>
              <w:jc w:val="both"/>
            </w:pPr>
            <w:r>
              <w:rPr>
                <w:sz w:val="20"/>
              </w:rPr>
              <w:t xml:space="preserve">Не установлен</w:t>
            </w:r>
          </w:p>
        </w:tc>
        <w:tc>
          <w:tcPr>
            <w:tcW w:w="1984" w:type="dxa"/>
            <w:tcBorders>
              <w:top w:val="single" w:sz="4"/>
              <w:left w:val="nil"/>
              <w:bottom w:val="nil"/>
              <w:right w:val="nil"/>
            </w:tcBorders>
          </w:tcPr>
          <w:p>
            <w:pPr>
              <w:pStyle w:val="0"/>
              <w:jc w:val="both"/>
            </w:pPr>
            <w:r>
              <w:rPr>
                <w:sz w:val="20"/>
              </w:rPr>
              <w:t xml:space="preserve">Социальный работник</w:t>
            </w:r>
          </w:p>
        </w:tc>
        <w:tc>
          <w:tcPr>
            <w:tcW w:w="1020" w:type="dxa"/>
            <w:tcBorders>
              <w:top w:val="single" w:sz="4"/>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13 177</w:t>
            </w:r>
          </w:p>
        </w:tc>
      </w:tr>
      <w:tr>
        <w:tc>
          <w:tcPr>
            <w:tcW w:w="2410" w:type="dxa"/>
            <w:tcBorders>
              <w:top w:val="nil"/>
              <w:left w:val="nil"/>
              <w:bottom w:val="nil"/>
              <w:right w:val="nil"/>
            </w:tcBorders>
          </w:tcPr>
          <w:p>
            <w:pPr>
              <w:pStyle w:val="0"/>
              <w:jc w:val="both"/>
            </w:pPr>
            <w:r>
              <w:rPr>
                <w:sz w:val="20"/>
              </w:rPr>
              <w:t xml:space="preserve">Должности специалистов третьего уровня в учреждениях здравоохранения и учреждениях, осуществляющих предоставление социальных услуг</w:t>
            </w:r>
          </w:p>
        </w:tc>
        <w:tc>
          <w:tcPr>
            <w:tcW w:w="1985" w:type="dxa"/>
            <w:tcBorders>
              <w:top w:val="nil"/>
              <w:left w:val="nil"/>
              <w:bottom w:val="nil"/>
              <w:right w:val="nil"/>
            </w:tcBorders>
          </w:tcPr>
          <w:p>
            <w:pPr>
              <w:pStyle w:val="0"/>
              <w:jc w:val="center"/>
            </w:pPr>
            <w:r>
              <w:rPr>
                <w:sz w:val="20"/>
              </w:rPr>
              <w:t xml:space="preserve">1</w:t>
            </w:r>
          </w:p>
        </w:tc>
        <w:tc>
          <w:tcPr>
            <w:tcW w:w="1984" w:type="dxa"/>
            <w:tcBorders>
              <w:top w:val="nil"/>
              <w:left w:val="nil"/>
              <w:bottom w:val="nil"/>
              <w:right w:val="nil"/>
            </w:tcBorders>
          </w:tcPr>
          <w:p>
            <w:pPr>
              <w:pStyle w:val="0"/>
              <w:jc w:val="both"/>
            </w:pPr>
            <w:r>
              <w:rPr>
                <w:sz w:val="20"/>
              </w:rPr>
              <w:t xml:space="preserve">Специалист по социальной работе; инструктор-методист по лечебной физкультуре</w:t>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16 307</w:t>
            </w:r>
          </w:p>
        </w:tc>
      </w:tr>
      <w:tr>
        <w:tc>
          <w:tcPr>
            <w:tcW w:w="2410" w:type="dxa"/>
            <w:tcBorders>
              <w:top w:val="nil"/>
              <w:left w:val="nil"/>
              <w:bottom w:val="nil"/>
              <w:right w:val="nil"/>
            </w:tcBorders>
          </w:tcPr>
          <w:p>
            <w:pPr>
              <w:pStyle w:val="0"/>
              <w:jc w:val="both"/>
            </w:pPr>
            <w:r>
              <w:rPr>
                <w:sz w:val="20"/>
              </w:rPr>
              <w:t xml:space="preserve">Должности специалистов третьего уровня в учреждениях здравоохранения и учреждениях, осуществляющих предоставление социальных услуг</w:t>
            </w:r>
          </w:p>
        </w:tc>
        <w:tc>
          <w:tcPr>
            <w:tcW w:w="1985" w:type="dxa"/>
            <w:tcBorders>
              <w:top w:val="nil"/>
              <w:left w:val="nil"/>
              <w:bottom w:val="nil"/>
              <w:right w:val="nil"/>
            </w:tcBorders>
          </w:tcPr>
          <w:p>
            <w:pPr>
              <w:pStyle w:val="0"/>
              <w:jc w:val="center"/>
            </w:pPr>
            <w:r>
              <w:rPr>
                <w:sz w:val="20"/>
              </w:rPr>
              <w:t xml:space="preserve">2</w:t>
            </w:r>
          </w:p>
        </w:tc>
        <w:tc>
          <w:tcPr>
            <w:tcW w:w="1984" w:type="dxa"/>
            <w:tcBorders>
              <w:top w:val="nil"/>
              <w:left w:val="nil"/>
              <w:bottom w:val="nil"/>
              <w:right w:val="nil"/>
            </w:tcBorders>
          </w:tcPr>
          <w:p>
            <w:pPr>
              <w:pStyle w:val="0"/>
              <w:jc w:val="both"/>
            </w:pPr>
            <w:r>
              <w:rPr>
                <w:sz w:val="20"/>
              </w:rPr>
              <w:t xml:space="preserve">Биолог; медицинский психолог; эксперт-физик по контролю за источниками ионизирующих и неионизирующих излучений; химик-эксперт медицинской организации; судебный эксперт (эксперт-биохимик, эксперт-генетик, эксперт-химик)</w:t>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17 000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467" w:name="P467"/>
    <w:bookmarkEnd w:id="467"/>
    <w:p>
      <w:pPr>
        <w:pStyle w:val="2"/>
        <w:jc w:val="center"/>
      </w:pPr>
      <w:r>
        <w:rPr>
          <w:sz w:val="20"/>
        </w:rPr>
        <w:t xml:space="preserve">ДОЛЖНОСТНЫЕ ОКЛАДЫ</w:t>
      </w:r>
    </w:p>
    <w:p>
      <w:pPr>
        <w:pStyle w:val="2"/>
        <w:jc w:val="center"/>
      </w:pPr>
      <w:r>
        <w:rPr>
          <w:sz w:val="20"/>
        </w:rPr>
        <w:t xml:space="preserve">ПО ДОЛЖНОСТЯМ РАБОТНИКОВ, ОТНЕСЕННЫМ К ПРОФЕССИОНАЛЬНЫМ</w:t>
      </w:r>
    </w:p>
    <w:p>
      <w:pPr>
        <w:pStyle w:val="2"/>
        <w:jc w:val="center"/>
      </w:pPr>
      <w:r>
        <w:rPr>
          <w:sz w:val="20"/>
        </w:rPr>
        <w:t xml:space="preserve">КВАЛИФИКАЦИОННЫМ ГРУППАМ ОБЩЕОТРАСЛЕВЫХ ДОЛЖНОСТЕЙ</w:t>
      </w:r>
    </w:p>
    <w:p>
      <w:pPr>
        <w:pStyle w:val="2"/>
        <w:jc w:val="center"/>
      </w:pPr>
      <w:r>
        <w:rPr>
          <w:sz w:val="20"/>
        </w:rPr>
        <w:t xml:space="preserve">РУКОВОДИТЕЛЕЙ, СПЕЦИАЛИСТОВ И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36"/>
        <w:gridCol w:w="1361"/>
        <w:gridCol w:w="1417"/>
      </w:tblGrid>
      <w:tr>
        <w:tblPrEx>
          <w:tblBorders>
            <w:left w:val="single" w:sz="4"/>
            <w:right w:val="single" w:sz="4"/>
            <w:insideV w:val="single" w:sz="4"/>
            <w:insideH w:val="single" w:sz="4"/>
          </w:tblBorders>
        </w:tblPrEx>
        <w:tc>
          <w:tcPr>
            <w:tcW w:w="6236" w:type="dxa"/>
            <w:tcBorders>
              <w:top w:val="single" w:sz="4"/>
              <w:bottom w:val="single" w:sz="4"/>
            </w:tcBorders>
          </w:tcPr>
          <w:p>
            <w:pPr>
              <w:pStyle w:val="0"/>
              <w:jc w:val="center"/>
            </w:pPr>
            <w:r>
              <w:rPr>
                <w:sz w:val="20"/>
              </w:rPr>
              <w:t xml:space="preserve">Наименование профессиональной квалификационной группы</w:t>
            </w:r>
          </w:p>
        </w:tc>
        <w:tc>
          <w:tcPr>
            <w:tcW w:w="1361" w:type="dxa"/>
            <w:tcBorders>
              <w:top w:val="single" w:sz="4"/>
              <w:bottom w:val="single" w:sz="4"/>
            </w:tcBorders>
          </w:tcPr>
          <w:p>
            <w:pPr>
              <w:pStyle w:val="0"/>
              <w:jc w:val="center"/>
            </w:pPr>
            <w:r>
              <w:rPr>
                <w:sz w:val="20"/>
              </w:rPr>
              <w:t xml:space="preserve">Квалификационный уровень</w:t>
            </w:r>
          </w:p>
        </w:tc>
        <w:tc>
          <w:tcPr>
            <w:tcW w:w="1417" w:type="dxa"/>
            <w:tcBorders>
              <w:top w:val="single" w:sz="4"/>
              <w:bottom w:val="single" w:sz="4"/>
            </w:tcBorders>
          </w:tcPr>
          <w:p>
            <w:pPr>
              <w:pStyle w:val="0"/>
              <w:jc w:val="center"/>
            </w:pPr>
            <w:r>
              <w:rPr>
                <w:sz w:val="20"/>
              </w:rPr>
              <w:t xml:space="preserve">Должностной оклад, рублей</w:t>
            </w:r>
          </w:p>
        </w:tc>
      </w:tr>
      <w:tr>
        <w:tc>
          <w:tcPr>
            <w:tcW w:w="6236" w:type="dxa"/>
            <w:tcBorders>
              <w:top w:val="single" w:sz="4"/>
              <w:left w:val="nil"/>
              <w:bottom w:val="nil"/>
              <w:right w:val="nil"/>
            </w:tcBorders>
          </w:tcPr>
          <w:p>
            <w:pPr>
              <w:pStyle w:val="0"/>
              <w:jc w:val="both"/>
            </w:pPr>
            <w:r>
              <w:rPr>
                <w:sz w:val="20"/>
              </w:rPr>
              <w:t xml:space="preserve">Общеотраслевые должности служащих первого уровня</w:t>
            </w:r>
          </w:p>
        </w:tc>
        <w:tc>
          <w:tcPr>
            <w:tcW w:w="1361" w:type="dxa"/>
            <w:tcBorders>
              <w:top w:val="single" w:sz="4"/>
              <w:left w:val="nil"/>
              <w:bottom w:val="nil"/>
              <w:right w:val="nil"/>
            </w:tcBorders>
          </w:tcPr>
          <w:p>
            <w:pPr>
              <w:pStyle w:val="0"/>
              <w:jc w:val="center"/>
            </w:pPr>
            <w:r>
              <w:rPr>
                <w:sz w:val="20"/>
              </w:rPr>
              <w:t xml:space="preserve">1</w:t>
            </w:r>
          </w:p>
        </w:tc>
        <w:tc>
          <w:tcPr>
            <w:tcW w:w="1417" w:type="dxa"/>
            <w:tcBorders>
              <w:top w:val="single" w:sz="4"/>
              <w:left w:val="nil"/>
              <w:bottom w:val="nil"/>
              <w:right w:val="nil"/>
            </w:tcBorders>
          </w:tcPr>
          <w:p>
            <w:pPr>
              <w:pStyle w:val="0"/>
              <w:jc w:val="center"/>
            </w:pPr>
            <w:r>
              <w:rPr>
                <w:sz w:val="20"/>
              </w:rPr>
              <w:t xml:space="preserve">11 290</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первого уровня</w:t>
            </w:r>
          </w:p>
        </w:tc>
        <w:tc>
          <w:tcPr>
            <w:tcW w:w="1361"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11 545</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второго уровня</w:t>
            </w:r>
          </w:p>
        </w:tc>
        <w:tc>
          <w:tcPr>
            <w:tcW w:w="1361"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11 795</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второго уровня</w:t>
            </w:r>
          </w:p>
        </w:tc>
        <w:tc>
          <w:tcPr>
            <w:tcW w:w="1361"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12 042</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второго уровня</w:t>
            </w:r>
          </w:p>
        </w:tc>
        <w:tc>
          <w:tcPr>
            <w:tcW w:w="1361" w:type="dxa"/>
            <w:tcBorders>
              <w:top w:val="nil"/>
              <w:left w:val="nil"/>
              <w:bottom w:val="nil"/>
              <w:right w:val="nil"/>
            </w:tcBorders>
          </w:tcPr>
          <w:p>
            <w:pPr>
              <w:pStyle w:val="0"/>
              <w:jc w:val="center"/>
            </w:pPr>
            <w:r>
              <w:rPr>
                <w:sz w:val="20"/>
              </w:rPr>
              <w:t xml:space="preserve">3</w:t>
            </w:r>
          </w:p>
        </w:tc>
        <w:tc>
          <w:tcPr>
            <w:tcW w:w="1417" w:type="dxa"/>
            <w:tcBorders>
              <w:top w:val="nil"/>
              <w:left w:val="nil"/>
              <w:bottom w:val="nil"/>
              <w:right w:val="nil"/>
            </w:tcBorders>
          </w:tcPr>
          <w:p>
            <w:pPr>
              <w:pStyle w:val="0"/>
              <w:jc w:val="center"/>
            </w:pPr>
            <w:r>
              <w:rPr>
                <w:sz w:val="20"/>
              </w:rPr>
              <w:t xml:space="preserve">12 290</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второго уровня</w:t>
            </w:r>
          </w:p>
        </w:tc>
        <w:tc>
          <w:tcPr>
            <w:tcW w:w="1361" w:type="dxa"/>
            <w:tcBorders>
              <w:top w:val="nil"/>
              <w:left w:val="nil"/>
              <w:bottom w:val="nil"/>
              <w:right w:val="nil"/>
            </w:tcBorders>
          </w:tcPr>
          <w:p>
            <w:pPr>
              <w:pStyle w:val="0"/>
              <w:jc w:val="center"/>
            </w:pPr>
            <w:r>
              <w:rPr>
                <w:sz w:val="20"/>
              </w:rPr>
              <w:t xml:space="preserve">4</w:t>
            </w:r>
          </w:p>
        </w:tc>
        <w:tc>
          <w:tcPr>
            <w:tcW w:w="1417" w:type="dxa"/>
            <w:tcBorders>
              <w:top w:val="nil"/>
              <w:left w:val="nil"/>
              <w:bottom w:val="nil"/>
              <w:right w:val="nil"/>
            </w:tcBorders>
          </w:tcPr>
          <w:p>
            <w:pPr>
              <w:pStyle w:val="0"/>
              <w:jc w:val="center"/>
            </w:pPr>
            <w:r>
              <w:rPr>
                <w:sz w:val="20"/>
              </w:rPr>
              <w:t xml:space="preserve">12 546</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второго уровня</w:t>
            </w:r>
          </w:p>
        </w:tc>
        <w:tc>
          <w:tcPr>
            <w:tcW w:w="1361" w:type="dxa"/>
            <w:tcBorders>
              <w:top w:val="nil"/>
              <w:left w:val="nil"/>
              <w:bottom w:val="nil"/>
              <w:right w:val="nil"/>
            </w:tcBorders>
          </w:tcPr>
          <w:p>
            <w:pPr>
              <w:pStyle w:val="0"/>
              <w:jc w:val="center"/>
            </w:pPr>
            <w:r>
              <w:rPr>
                <w:sz w:val="20"/>
              </w:rPr>
              <w:t xml:space="preserve">5</w:t>
            </w:r>
          </w:p>
        </w:tc>
        <w:tc>
          <w:tcPr>
            <w:tcW w:w="1417" w:type="dxa"/>
            <w:tcBorders>
              <w:top w:val="nil"/>
              <w:left w:val="nil"/>
              <w:bottom w:val="nil"/>
              <w:right w:val="nil"/>
            </w:tcBorders>
          </w:tcPr>
          <w:p>
            <w:pPr>
              <w:pStyle w:val="0"/>
              <w:jc w:val="center"/>
            </w:pPr>
            <w:r>
              <w:rPr>
                <w:sz w:val="20"/>
              </w:rPr>
              <w:t xml:space="preserve">13 491</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третьего уровня</w:t>
            </w:r>
          </w:p>
        </w:tc>
        <w:tc>
          <w:tcPr>
            <w:tcW w:w="1361"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15 681</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третьего уровня</w:t>
            </w:r>
          </w:p>
        </w:tc>
        <w:tc>
          <w:tcPr>
            <w:tcW w:w="1361"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15 929</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третьего уровня</w:t>
            </w:r>
          </w:p>
        </w:tc>
        <w:tc>
          <w:tcPr>
            <w:tcW w:w="1361" w:type="dxa"/>
            <w:tcBorders>
              <w:top w:val="nil"/>
              <w:left w:val="nil"/>
              <w:bottom w:val="nil"/>
              <w:right w:val="nil"/>
            </w:tcBorders>
          </w:tcPr>
          <w:p>
            <w:pPr>
              <w:pStyle w:val="0"/>
              <w:jc w:val="center"/>
            </w:pPr>
            <w:r>
              <w:rPr>
                <w:sz w:val="20"/>
              </w:rPr>
              <w:t xml:space="preserve">3</w:t>
            </w:r>
          </w:p>
        </w:tc>
        <w:tc>
          <w:tcPr>
            <w:tcW w:w="1417" w:type="dxa"/>
            <w:tcBorders>
              <w:top w:val="nil"/>
              <w:left w:val="nil"/>
              <w:bottom w:val="nil"/>
              <w:right w:val="nil"/>
            </w:tcBorders>
          </w:tcPr>
          <w:p>
            <w:pPr>
              <w:pStyle w:val="0"/>
              <w:jc w:val="center"/>
            </w:pPr>
            <w:r>
              <w:rPr>
                <w:sz w:val="20"/>
              </w:rPr>
              <w:t xml:space="preserve">16 438</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третьего уровня</w:t>
            </w:r>
          </w:p>
        </w:tc>
        <w:tc>
          <w:tcPr>
            <w:tcW w:w="1361" w:type="dxa"/>
            <w:tcBorders>
              <w:top w:val="nil"/>
              <w:left w:val="nil"/>
              <w:bottom w:val="nil"/>
              <w:right w:val="nil"/>
            </w:tcBorders>
          </w:tcPr>
          <w:p>
            <w:pPr>
              <w:pStyle w:val="0"/>
              <w:jc w:val="center"/>
            </w:pPr>
            <w:r>
              <w:rPr>
                <w:sz w:val="20"/>
              </w:rPr>
              <w:t xml:space="preserve">4</w:t>
            </w:r>
          </w:p>
        </w:tc>
        <w:tc>
          <w:tcPr>
            <w:tcW w:w="1417" w:type="dxa"/>
            <w:tcBorders>
              <w:top w:val="nil"/>
              <w:left w:val="nil"/>
              <w:bottom w:val="nil"/>
              <w:right w:val="nil"/>
            </w:tcBorders>
          </w:tcPr>
          <w:p>
            <w:pPr>
              <w:pStyle w:val="0"/>
              <w:jc w:val="center"/>
            </w:pPr>
            <w:r>
              <w:rPr>
                <w:sz w:val="20"/>
              </w:rPr>
              <w:t xml:space="preserve">17 808</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третьего уровня</w:t>
            </w:r>
          </w:p>
        </w:tc>
        <w:tc>
          <w:tcPr>
            <w:tcW w:w="1361" w:type="dxa"/>
            <w:tcBorders>
              <w:top w:val="nil"/>
              <w:left w:val="nil"/>
              <w:bottom w:val="nil"/>
              <w:right w:val="nil"/>
            </w:tcBorders>
          </w:tcPr>
          <w:p>
            <w:pPr>
              <w:pStyle w:val="0"/>
              <w:jc w:val="center"/>
            </w:pPr>
            <w:r>
              <w:rPr>
                <w:sz w:val="20"/>
              </w:rPr>
              <w:t xml:space="preserve">5</w:t>
            </w:r>
          </w:p>
        </w:tc>
        <w:tc>
          <w:tcPr>
            <w:tcW w:w="1417" w:type="dxa"/>
            <w:tcBorders>
              <w:top w:val="nil"/>
              <w:left w:val="nil"/>
              <w:bottom w:val="nil"/>
              <w:right w:val="nil"/>
            </w:tcBorders>
          </w:tcPr>
          <w:p>
            <w:pPr>
              <w:pStyle w:val="0"/>
              <w:jc w:val="center"/>
            </w:pPr>
            <w:r>
              <w:rPr>
                <w:sz w:val="20"/>
              </w:rPr>
              <w:t xml:space="preserve">19 636</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четвертого уровня</w:t>
            </w:r>
          </w:p>
        </w:tc>
        <w:tc>
          <w:tcPr>
            <w:tcW w:w="1361"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21 696</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четвертого уровня</w:t>
            </w:r>
          </w:p>
        </w:tc>
        <w:tc>
          <w:tcPr>
            <w:tcW w:w="1361"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22 453</w:t>
            </w:r>
          </w:p>
        </w:tc>
      </w:tr>
      <w:tr>
        <w:tc>
          <w:tcPr>
            <w:tcW w:w="6236" w:type="dxa"/>
            <w:tcBorders>
              <w:top w:val="nil"/>
              <w:left w:val="nil"/>
              <w:bottom w:val="nil"/>
              <w:right w:val="nil"/>
            </w:tcBorders>
          </w:tcPr>
          <w:p>
            <w:pPr>
              <w:pStyle w:val="0"/>
              <w:jc w:val="both"/>
            </w:pPr>
            <w:r>
              <w:rPr>
                <w:sz w:val="20"/>
              </w:rPr>
              <w:t xml:space="preserve">Общеотраслевые должности служащих четвертого уровня</w:t>
            </w:r>
          </w:p>
        </w:tc>
        <w:tc>
          <w:tcPr>
            <w:tcW w:w="1361" w:type="dxa"/>
            <w:tcBorders>
              <w:top w:val="nil"/>
              <w:left w:val="nil"/>
              <w:bottom w:val="nil"/>
              <w:right w:val="nil"/>
            </w:tcBorders>
          </w:tcPr>
          <w:p>
            <w:pPr>
              <w:pStyle w:val="0"/>
              <w:jc w:val="center"/>
            </w:pPr>
            <w:r>
              <w:rPr>
                <w:sz w:val="20"/>
              </w:rPr>
              <w:t xml:space="preserve">3</w:t>
            </w:r>
          </w:p>
        </w:tc>
        <w:tc>
          <w:tcPr>
            <w:tcW w:w="1417" w:type="dxa"/>
            <w:tcBorders>
              <w:top w:val="nil"/>
              <w:left w:val="nil"/>
              <w:bottom w:val="nil"/>
              <w:right w:val="nil"/>
            </w:tcBorders>
          </w:tcPr>
          <w:p>
            <w:pPr>
              <w:pStyle w:val="0"/>
              <w:jc w:val="center"/>
            </w:pPr>
            <w:r>
              <w:rPr>
                <w:sz w:val="20"/>
              </w:rPr>
              <w:t xml:space="preserve">23 456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3.1</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535" w:name="P535"/>
    <w:bookmarkEnd w:id="535"/>
    <w:p>
      <w:pPr>
        <w:pStyle w:val="2"/>
        <w:jc w:val="center"/>
      </w:pPr>
      <w:r>
        <w:rPr>
          <w:sz w:val="20"/>
        </w:rPr>
        <w:t xml:space="preserve">ДОЛЖНОСТНЫЕ ОКЛАДЫ</w:t>
      </w:r>
    </w:p>
    <w:p>
      <w:pPr>
        <w:pStyle w:val="2"/>
        <w:jc w:val="center"/>
      </w:pPr>
      <w:r>
        <w:rPr>
          <w:sz w:val="20"/>
        </w:rPr>
        <w:t xml:space="preserve">РУКОВОДИТЕЛЕЙ, СПЕЦИАЛИСТОВ И СЛУЖАЩИХ, ДОЛЖНОСТИ КОТОРЫХ</w:t>
      </w:r>
    </w:p>
    <w:p>
      <w:pPr>
        <w:pStyle w:val="2"/>
        <w:jc w:val="center"/>
      </w:pPr>
      <w:r>
        <w:rPr>
          <w:sz w:val="20"/>
        </w:rPr>
        <w:t xml:space="preserve">НЕ ОТНЕСЕНЫ К ПРОФЕССИОНАЛЬНЫМ КВАЛИФИКАЦИОННЫМ ГРУППАМ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882"/>
        <w:gridCol w:w="1843"/>
        <w:gridCol w:w="2268"/>
      </w:tblGrid>
      <w:tr>
        <w:tblPrEx>
          <w:tblBorders>
            <w:left w:val="single" w:sz="4"/>
            <w:right w:val="single" w:sz="4"/>
            <w:insideV w:val="single" w:sz="4"/>
            <w:insideH w:val="single" w:sz="4"/>
          </w:tblBorders>
        </w:tblPrEx>
        <w:tc>
          <w:tcPr>
            <w:tcW w:w="4882" w:type="dxa"/>
            <w:tcBorders>
              <w:top w:val="single" w:sz="4"/>
              <w:bottom w:val="single" w:sz="4"/>
            </w:tcBorders>
          </w:tcPr>
          <w:p>
            <w:pPr>
              <w:pStyle w:val="0"/>
              <w:jc w:val="center"/>
            </w:pPr>
            <w:r>
              <w:rPr>
                <w:sz w:val="20"/>
              </w:rPr>
              <w:t xml:space="preserve">Наименование должности</w:t>
            </w:r>
          </w:p>
        </w:tc>
        <w:tc>
          <w:tcPr>
            <w:tcW w:w="1843" w:type="dxa"/>
            <w:tcBorders>
              <w:top w:val="single" w:sz="4"/>
              <w:bottom w:val="single" w:sz="4"/>
            </w:tcBorders>
          </w:tcPr>
          <w:p>
            <w:pPr>
              <w:pStyle w:val="0"/>
              <w:jc w:val="center"/>
            </w:pPr>
            <w:r>
              <w:rPr>
                <w:sz w:val="20"/>
              </w:rPr>
              <w:t xml:space="preserve">Группа по оплате труда руководителей</w:t>
            </w:r>
          </w:p>
        </w:tc>
        <w:tc>
          <w:tcPr>
            <w:tcW w:w="2268" w:type="dxa"/>
            <w:tcBorders>
              <w:top w:val="single" w:sz="4"/>
              <w:bottom w:val="single" w:sz="4"/>
            </w:tcBorders>
          </w:tcPr>
          <w:p>
            <w:pPr>
              <w:pStyle w:val="0"/>
              <w:jc w:val="center"/>
            </w:pPr>
            <w:r>
              <w:rPr>
                <w:sz w:val="20"/>
              </w:rPr>
              <w:t xml:space="preserve">Должностной оклад, рублей</w:t>
            </w:r>
          </w:p>
        </w:tc>
      </w:tr>
      <w:tr>
        <w:tblPrEx>
          <w:tblBorders>
            <w:insideH w:val="single" w:sz="4"/>
          </w:tblBorders>
        </w:tblPrEx>
        <w:tc>
          <w:tcPr>
            <w:tcW w:w="4882" w:type="dxa"/>
            <w:tcBorders>
              <w:top w:val="single" w:sz="4"/>
              <w:left w:val="nil"/>
              <w:bottom w:val="nil"/>
              <w:right w:val="nil"/>
            </w:tcBorders>
            <w:vMerge w:val="restart"/>
          </w:tcPr>
          <w:p>
            <w:pPr>
              <w:pStyle w:val="0"/>
              <w:jc w:val="both"/>
            </w:pPr>
            <w:r>
              <w:rPr>
                <w:sz w:val="20"/>
              </w:rPr>
              <w:t xml:space="preserve">Главная медицинская сестра</w:t>
            </w:r>
          </w:p>
        </w:tc>
        <w:tc>
          <w:tcPr>
            <w:tcW w:w="1843" w:type="dxa"/>
            <w:tcBorders>
              <w:top w:val="single" w:sz="4"/>
              <w:left w:val="nil"/>
              <w:bottom w:val="nil"/>
              <w:right w:val="nil"/>
            </w:tcBorders>
          </w:tcPr>
          <w:p>
            <w:pPr>
              <w:pStyle w:val="0"/>
              <w:jc w:val="center"/>
            </w:pPr>
            <w:r>
              <w:rPr>
                <w:sz w:val="20"/>
              </w:rPr>
              <w:t xml:space="preserve">V</w:t>
            </w:r>
          </w:p>
        </w:tc>
        <w:tc>
          <w:tcPr>
            <w:tcW w:w="2268" w:type="dxa"/>
            <w:tcBorders>
              <w:top w:val="single" w:sz="4"/>
              <w:left w:val="nil"/>
              <w:bottom w:val="nil"/>
              <w:right w:val="nil"/>
            </w:tcBorders>
          </w:tcPr>
          <w:p>
            <w:pPr>
              <w:pStyle w:val="0"/>
              <w:jc w:val="center"/>
            </w:pPr>
            <w:r>
              <w:rPr>
                <w:sz w:val="20"/>
              </w:rPr>
              <w:t xml:space="preserve">18 187</w:t>
            </w:r>
          </w:p>
        </w:tc>
      </w:tr>
      <w:tr>
        <w:tc>
          <w:tcPr>
            <w:tcBorders>
              <w:top w:val="single" w:sz="4"/>
              <w:left w:val="nil"/>
              <w:bottom w:val="nil"/>
              <w:right w:val="nil"/>
            </w:tcBorders>
            <w:vMerge w:val="continue"/>
          </w:tcPr>
          <w:p/>
        </w:tc>
        <w:tc>
          <w:tcPr>
            <w:tcW w:w="1843" w:type="dxa"/>
            <w:tcBorders>
              <w:top w:val="nil"/>
              <w:left w:val="nil"/>
              <w:bottom w:val="nil"/>
              <w:right w:val="nil"/>
            </w:tcBorders>
          </w:tcPr>
          <w:p>
            <w:pPr>
              <w:pStyle w:val="0"/>
              <w:jc w:val="center"/>
            </w:pPr>
            <w:r>
              <w:rPr>
                <w:sz w:val="20"/>
              </w:rPr>
              <w:t xml:space="preserve">IV</w:t>
            </w:r>
          </w:p>
        </w:tc>
        <w:tc>
          <w:tcPr>
            <w:tcW w:w="2268" w:type="dxa"/>
            <w:tcBorders>
              <w:top w:val="nil"/>
              <w:left w:val="nil"/>
              <w:bottom w:val="nil"/>
              <w:right w:val="nil"/>
            </w:tcBorders>
          </w:tcPr>
          <w:p>
            <w:pPr>
              <w:pStyle w:val="0"/>
              <w:jc w:val="center"/>
            </w:pPr>
            <w:r>
              <w:rPr>
                <w:sz w:val="20"/>
              </w:rPr>
              <w:t xml:space="preserve">21 318</w:t>
            </w:r>
          </w:p>
        </w:tc>
      </w:tr>
      <w:tr>
        <w:tc>
          <w:tcPr>
            <w:tcBorders>
              <w:top w:val="single" w:sz="4"/>
              <w:left w:val="nil"/>
              <w:bottom w:val="nil"/>
              <w:right w:val="nil"/>
            </w:tcBorders>
            <w:vMerge w:val="continue"/>
          </w:tcPr>
          <w:p/>
        </w:tc>
        <w:tc>
          <w:tcPr>
            <w:tcW w:w="1843" w:type="dxa"/>
            <w:tcBorders>
              <w:top w:val="nil"/>
              <w:left w:val="nil"/>
              <w:bottom w:val="nil"/>
              <w:right w:val="nil"/>
            </w:tcBorders>
          </w:tcPr>
          <w:p>
            <w:pPr>
              <w:pStyle w:val="0"/>
              <w:jc w:val="center"/>
            </w:pPr>
            <w:r>
              <w:rPr>
                <w:sz w:val="20"/>
              </w:rPr>
              <w:t xml:space="preserve">III</w:t>
            </w:r>
          </w:p>
        </w:tc>
        <w:tc>
          <w:tcPr>
            <w:tcW w:w="2268" w:type="dxa"/>
            <w:tcBorders>
              <w:top w:val="nil"/>
              <w:left w:val="nil"/>
              <w:bottom w:val="nil"/>
              <w:right w:val="nil"/>
            </w:tcBorders>
          </w:tcPr>
          <w:p>
            <w:pPr>
              <w:pStyle w:val="0"/>
              <w:jc w:val="center"/>
            </w:pPr>
            <w:r>
              <w:rPr>
                <w:sz w:val="20"/>
              </w:rPr>
              <w:t xml:space="preserve">23 836</w:t>
            </w:r>
          </w:p>
        </w:tc>
      </w:tr>
      <w:tr>
        <w:tc>
          <w:tcPr>
            <w:tcBorders>
              <w:top w:val="single" w:sz="4"/>
              <w:left w:val="nil"/>
              <w:bottom w:val="nil"/>
              <w:right w:val="nil"/>
            </w:tcBorders>
            <w:vMerge w:val="continue"/>
          </w:tcPr>
          <w:p/>
        </w:tc>
        <w:tc>
          <w:tcPr>
            <w:tcW w:w="1843" w:type="dxa"/>
            <w:tcBorders>
              <w:top w:val="nil"/>
              <w:left w:val="nil"/>
              <w:bottom w:val="nil"/>
              <w:right w:val="nil"/>
            </w:tcBorders>
          </w:tcPr>
          <w:p>
            <w:pPr>
              <w:pStyle w:val="0"/>
              <w:jc w:val="center"/>
            </w:pPr>
            <w:r>
              <w:rPr>
                <w:sz w:val="20"/>
              </w:rPr>
              <w:t xml:space="preserve">II</w:t>
            </w:r>
          </w:p>
        </w:tc>
        <w:tc>
          <w:tcPr>
            <w:tcW w:w="2268" w:type="dxa"/>
            <w:tcBorders>
              <w:top w:val="nil"/>
              <w:left w:val="nil"/>
              <w:bottom w:val="nil"/>
              <w:right w:val="nil"/>
            </w:tcBorders>
          </w:tcPr>
          <w:p>
            <w:pPr>
              <w:pStyle w:val="0"/>
              <w:jc w:val="center"/>
            </w:pPr>
            <w:r>
              <w:rPr>
                <w:sz w:val="20"/>
              </w:rPr>
              <w:t xml:space="preserve">25 714</w:t>
            </w:r>
          </w:p>
        </w:tc>
      </w:tr>
      <w:tr>
        <w:tc>
          <w:tcPr>
            <w:tcBorders>
              <w:top w:val="single" w:sz="4"/>
              <w:left w:val="nil"/>
              <w:bottom w:val="nil"/>
              <w:right w:val="nil"/>
            </w:tcBorders>
            <w:vMerge w:val="continue"/>
          </w:tcPr>
          <w:p/>
        </w:tc>
        <w:tc>
          <w:tcPr>
            <w:tcW w:w="1843" w:type="dxa"/>
            <w:tcBorders>
              <w:top w:val="nil"/>
              <w:left w:val="nil"/>
              <w:bottom w:val="nil"/>
              <w:right w:val="nil"/>
            </w:tcBorders>
          </w:tcPr>
          <w:p>
            <w:pPr>
              <w:pStyle w:val="0"/>
              <w:jc w:val="center"/>
            </w:pPr>
            <w:r>
              <w:rPr>
                <w:sz w:val="20"/>
              </w:rPr>
              <w:t xml:space="preserve">I</w:t>
            </w:r>
          </w:p>
        </w:tc>
        <w:tc>
          <w:tcPr>
            <w:tcW w:w="2268" w:type="dxa"/>
            <w:tcBorders>
              <w:top w:val="nil"/>
              <w:left w:val="nil"/>
              <w:bottom w:val="nil"/>
              <w:right w:val="nil"/>
            </w:tcBorders>
          </w:tcPr>
          <w:p>
            <w:pPr>
              <w:pStyle w:val="0"/>
              <w:jc w:val="center"/>
            </w:pPr>
            <w:r>
              <w:rPr>
                <w:sz w:val="20"/>
              </w:rPr>
              <w:t xml:space="preserve">28 846</w:t>
            </w:r>
          </w:p>
        </w:tc>
      </w:tr>
      <w:tr>
        <w:tc>
          <w:tcPr>
            <w:tcW w:w="4882" w:type="dxa"/>
            <w:tcBorders>
              <w:top w:val="nil"/>
              <w:left w:val="nil"/>
              <w:bottom w:val="nil"/>
              <w:right w:val="nil"/>
            </w:tcBorders>
          </w:tcPr>
          <w:p>
            <w:pPr>
              <w:pStyle w:val="0"/>
              <w:jc w:val="both"/>
            </w:pPr>
            <w:r>
              <w:rPr>
                <w:sz w:val="20"/>
              </w:rPr>
              <w:t xml:space="preserve">Заведующий прачечной</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11 911</w:t>
            </w:r>
          </w:p>
        </w:tc>
      </w:tr>
      <w:tr>
        <w:tc>
          <w:tcPr>
            <w:tcW w:w="4882" w:type="dxa"/>
            <w:tcBorders>
              <w:top w:val="nil"/>
              <w:left w:val="nil"/>
              <w:bottom w:val="nil"/>
              <w:right w:val="nil"/>
            </w:tcBorders>
          </w:tcPr>
          <w:p>
            <w:pPr>
              <w:pStyle w:val="0"/>
              <w:jc w:val="both"/>
            </w:pPr>
            <w:r>
              <w:rPr>
                <w:sz w:val="20"/>
              </w:rPr>
              <w:t xml:space="preserve">Инспектор по учету и бронированию военнообязанных</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11 911</w:t>
            </w:r>
          </w:p>
        </w:tc>
      </w:tr>
      <w:tr>
        <w:tc>
          <w:tcPr>
            <w:tcW w:w="4882" w:type="dxa"/>
            <w:tcBorders>
              <w:top w:val="nil"/>
              <w:left w:val="nil"/>
              <w:bottom w:val="nil"/>
              <w:right w:val="nil"/>
            </w:tcBorders>
          </w:tcPr>
          <w:p>
            <w:pPr>
              <w:pStyle w:val="0"/>
              <w:jc w:val="both"/>
            </w:pPr>
            <w:r>
              <w:rPr>
                <w:sz w:val="20"/>
              </w:rPr>
              <w:t xml:space="preserve">Специалист по закупкам</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15 681</w:t>
            </w:r>
          </w:p>
        </w:tc>
      </w:tr>
      <w:tr>
        <w:tc>
          <w:tcPr>
            <w:tcW w:w="4882" w:type="dxa"/>
            <w:tcBorders>
              <w:top w:val="nil"/>
              <w:left w:val="nil"/>
              <w:bottom w:val="nil"/>
              <w:right w:val="nil"/>
            </w:tcBorders>
          </w:tcPr>
          <w:p>
            <w:pPr>
              <w:pStyle w:val="0"/>
              <w:jc w:val="both"/>
            </w:pPr>
            <w:r>
              <w:rPr>
                <w:sz w:val="20"/>
              </w:rPr>
              <w:t xml:space="preserve">Старший специалист по закупкам, контрактный управляющий</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16 438</w:t>
            </w:r>
          </w:p>
        </w:tc>
      </w:tr>
      <w:tr>
        <w:tc>
          <w:tcPr>
            <w:tcW w:w="4882" w:type="dxa"/>
            <w:tcBorders>
              <w:top w:val="nil"/>
              <w:left w:val="nil"/>
              <w:bottom w:val="nil"/>
              <w:right w:val="nil"/>
            </w:tcBorders>
          </w:tcPr>
          <w:p>
            <w:pPr>
              <w:pStyle w:val="0"/>
              <w:jc w:val="both"/>
            </w:pPr>
            <w:r>
              <w:rPr>
                <w:sz w:val="20"/>
              </w:rPr>
              <w:t xml:space="preserve">Руководитель контрактной службы</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21 696</w:t>
            </w:r>
          </w:p>
        </w:tc>
      </w:tr>
      <w:tr>
        <w:tc>
          <w:tcPr>
            <w:tcW w:w="4882" w:type="dxa"/>
            <w:tcBorders>
              <w:top w:val="nil"/>
              <w:left w:val="nil"/>
              <w:bottom w:val="nil"/>
              <w:right w:val="nil"/>
            </w:tcBorders>
          </w:tcPr>
          <w:p>
            <w:pPr>
              <w:pStyle w:val="0"/>
              <w:jc w:val="both"/>
            </w:pPr>
            <w:r>
              <w:rPr>
                <w:sz w:val="20"/>
              </w:rPr>
              <w:t xml:space="preserve">Начальник отдела</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21 696</w:t>
            </w:r>
          </w:p>
        </w:tc>
      </w:tr>
      <w:tr>
        <w:tc>
          <w:tcPr>
            <w:tcW w:w="4882" w:type="dxa"/>
            <w:tcBorders>
              <w:top w:val="nil"/>
              <w:left w:val="nil"/>
              <w:bottom w:val="nil"/>
              <w:right w:val="nil"/>
            </w:tcBorders>
          </w:tcPr>
          <w:p>
            <w:pPr>
              <w:pStyle w:val="0"/>
              <w:jc w:val="both"/>
            </w:pPr>
            <w:r>
              <w:rPr>
                <w:sz w:val="20"/>
              </w:rPr>
              <w:t xml:space="preserve">Специалист по охране труда</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15 681</w:t>
            </w:r>
          </w:p>
        </w:tc>
      </w:tr>
      <w:tr>
        <w:tc>
          <w:tcPr>
            <w:tcW w:w="4882" w:type="dxa"/>
            <w:tcBorders>
              <w:top w:val="nil"/>
              <w:left w:val="nil"/>
              <w:bottom w:val="nil"/>
              <w:right w:val="nil"/>
            </w:tcBorders>
          </w:tcPr>
          <w:p>
            <w:pPr>
              <w:pStyle w:val="0"/>
              <w:jc w:val="both"/>
            </w:pPr>
            <w:r>
              <w:rPr>
                <w:sz w:val="20"/>
              </w:rPr>
              <w:t xml:space="preserve">Специалист по охране труда II категории</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15 929</w:t>
            </w:r>
          </w:p>
        </w:tc>
      </w:tr>
      <w:tr>
        <w:tc>
          <w:tcPr>
            <w:tcW w:w="4882" w:type="dxa"/>
            <w:tcBorders>
              <w:top w:val="nil"/>
              <w:left w:val="nil"/>
              <w:bottom w:val="nil"/>
              <w:right w:val="nil"/>
            </w:tcBorders>
          </w:tcPr>
          <w:p>
            <w:pPr>
              <w:pStyle w:val="0"/>
              <w:jc w:val="both"/>
            </w:pPr>
            <w:r>
              <w:rPr>
                <w:sz w:val="20"/>
              </w:rPr>
              <w:t xml:space="preserve">Специалист по охране труда I категории</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16 438</w:t>
            </w:r>
          </w:p>
        </w:tc>
      </w:tr>
      <w:tr>
        <w:tc>
          <w:tcPr>
            <w:tcW w:w="4882" w:type="dxa"/>
            <w:tcBorders>
              <w:top w:val="nil"/>
              <w:left w:val="nil"/>
              <w:bottom w:val="nil"/>
              <w:right w:val="nil"/>
            </w:tcBorders>
          </w:tcPr>
          <w:p>
            <w:pPr>
              <w:pStyle w:val="0"/>
              <w:jc w:val="both"/>
            </w:pPr>
            <w:r>
              <w:rPr>
                <w:sz w:val="20"/>
              </w:rPr>
              <w:t xml:space="preserve">Руководитель службы охраны труда</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21 696</w:t>
            </w:r>
          </w:p>
        </w:tc>
      </w:tr>
      <w:tr>
        <w:tc>
          <w:tcPr>
            <w:tcW w:w="4882" w:type="dxa"/>
            <w:tcBorders>
              <w:top w:val="nil"/>
              <w:left w:val="nil"/>
              <w:bottom w:val="nil"/>
              <w:right w:val="nil"/>
            </w:tcBorders>
          </w:tcPr>
          <w:p>
            <w:pPr>
              <w:pStyle w:val="0"/>
              <w:jc w:val="both"/>
            </w:pPr>
            <w:r>
              <w:rPr>
                <w:sz w:val="20"/>
              </w:rPr>
              <w:t xml:space="preserve">Специалист по пожарной профилактике (специалист по пожарной безопасности)</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15 681</w:t>
            </w:r>
          </w:p>
        </w:tc>
      </w:tr>
      <w:tr>
        <w:tc>
          <w:tcPr>
            <w:tcW w:w="4882" w:type="dxa"/>
            <w:tcBorders>
              <w:top w:val="nil"/>
              <w:left w:val="nil"/>
              <w:bottom w:val="nil"/>
              <w:right w:val="nil"/>
            </w:tcBorders>
          </w:tcPr>
          <w:p>
            <w:pPr>
              <w:pStyle w:val="0"/>
              <w:jc w:val="both"/>
            </w:pPr>
            <w:r>
              <w:rPr>
                <w:sz w:val="20"/>
              </w:rPr>
              <w:t xml:space="preserve">Специалист по технической поддержке информационно-коммуникационных систем</w:t>
            </w:r>
          </w:p>
        </w:tc>
        <w:tc>
          <w:tcPr>
            <w:tcW w:w="1843"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jc w:val="center"/>
            </w:pPr>
            <w:r>
              <w:rPr>
                <w:sz w:val="20"/>
              </w:rPr>
              <w:t xml:space="preserve">15 681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604" w:name="P604"/>
    <w:bookmarkEnd w:id="604"/>
    <w:p>
      <w:pPr>
        <w:pStyle w:val="2"/>
        <w:jc w:val="center"/>
      </w:pPr>
      <w:r>
        <w:rPr>
          <w:sz w:val="20"/>
        </w:rPr>
        <w:t xml:space="preserve">ДОЛЖНОСТНЫЕ ОКЛАДЫ</w:t>
      </w:r>
    </w:p>
    <w:p>
      <w:pPr>
        <w:pStyle w:val="2"/>
        <w:jc w:val="center"/>
      </w:pPr>
      <w:r>
        <w:rPr>
          <w:sz w:val="20"/>
        </w:rPr>
        <w:t xml:space="preserve">ПО ДОЛЖНОСТЯМ РАБОТНИКОВ, ОТНЕСЕННЫМ К ПРОФЕССИОНАЛЬНЫМ</w:t>
      </w:r>
    </w:p>
    <w:p>
      <w:pPr>
        <w:pStyle w:val="2"/>
        <w:jc w:val="center"/>
      </w:pPr>
      <w:r>
        <w:rPr>
          <w:sz w:val="20"/>
        </w:rPr>
        <w:t xml:space="preserve">КВАЛИФИКАЦИОННЫМ ГРУППАМ ДРУГИХ ВИДОВ</w:t>
      </w:r>
    </w:p>
    <w:p>
      <w:pPr>
        <w:pStyle w:val="2"/>
        <w:jc w:val="center"/>
      </w:pPr>
      <w:r>
        <w:rPr>
          <w:sz w:val="20"/>
        </w:rPr>
        <w:t xml:space="preserve">ЭКОНОМИЧЕСКОЙ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040"/>
        <w:gridCol w:w="1557"/>
        <w:gridCol w:w="2835"/>
        <w:gridCol w:w="1474"/>
      </w:tblGrid>
      <w:tr>
        <w:tblPrEx>
          <w:tblBorders>
            <w:left w:val="single" w:sz="4"/>
            <w:right w:val="single" w:sz="4"/>
            <w:insideV w:val="single" w:sz="4"/>
            <w:insideH w:val="single" w:sz="4"/>
          </w:tblBorders>
        </w:tblPrEx>
        <w:tc>
          <w:tcPr>
            <w:tcW w:w="3040" w:type="dxa"/>
            <w:tcBorders>
              <w:top w:val="single" w:sz="4"/>
              <w:bottom w:val="single" w:sz="4"/>
            </w:tcBorders>
          </w:tcPr>
          <w:p>
            <w:pPr>
              <w:pStyle w:val="0"/>
              <w:jc w:val="center"/>
            </w:pPr>
            <w:r>
              <w:rPr>
                <w:sz w:val="20"/>
              </w:rPr>
              <w:t xml:space="preserve">Наименование профессиональной квалификационной группы</w:t>
            </w:r>
          </w:p>
        </w:tc>
        <w:tc>
          <w:tcPr>
            <w:tcW w:w="1557" w:type="dxa"/>
            <w:tcBorders>
              <w:top w:val="single" w:sz="4"/>
              <w:bottom w:val="single" w:sz="4"/>
            </w:tcBorders>
          </w:tcPr>
          <w:p>
            <w:pPr>
              <w:pStyle w:val="0"/>
              <w:jc w:val="center"/>
            </w:pPr>
            <w:r>
              <w:rPr>
                <w:sz w:val="20"/>
              </w:rPr>
              <w:t xml:space="preserve">Квалификационный уровень</w:t>
            </w:r>
          </w:p>
        </w:tc>
        <w:tc>
          <w:tcPr>
            <w:tcW w:w="2835" w:type="dxa"/>
            <w:tcBorders>
              <w:top w:val="single" w:sz="4"/>
              <w:bottom w:val="single" w:sz="4"/>
            </w:tcBorders>
          </w:tcPr>
          <w:p>
            <w:pPr>
              <w:pStyle w:val="0"/>
              <w:jc w:val="center"/>
            </w:pPr>
            <w:r>
              <w:rPr>
                <w:sz w:val="20"/>
              </w:rPr>
              <w:t xml:space="preserve">Наименование должности</w:t>
            </w:r>
          </w:p>
        </w:tc>
        <w:tc>
          <w:tcPr>
            <w:tcW w:w="1474" w:type="dxa"/>
            <w:tcBorders>
              <w:top w:val="single" w:sz="4"/>
              <w:bottom w:val="single" w:sz="4"/>
            </w:tcBorders>
          </w:tcPr>
          <w:p>
            <w:pPr>
              <w:pStyle w:val="0"/>
              <w:jc w:val="center"/>
            </w:pPr>
            <w:r>
              <w:rPr>
                <w:sz w:val="20"/>
              </w:rPr>
              <w:t xml:space="preserve">Должностной оклад, рублей</w:t>
            </w:r>
          </w:p>
        </w:tc>
      </w:tr>
      <w:tr>
        <w:tc>
          <w:tcPr>
            <w:gridSpan w:val="4"/>
            <w:tcW w:w="8906" w:type="dxa"/>
            <w:tcBorders>
              <w:top w:val="single" w:sz="4"/>
              <w:left w:val="nil"/>
              <w:bottom w:val="nil"/>
              <w:right w:val="nil"/>
            </w:tcBorders>
          </w:tcPr>
          <w:p>
            <w:pPr>
              <w:pStyle w:val="0"/>
              <w:outlineLvl w:val="2"/>
              <w:jc w:val="center"/>
            </w:pPr>
            <w:r>
              <w:rPr>
                <w:sz w:val="20"/>
              </w:rPr>
              <w:t xml:space="preserve">Должности педагогических работников</w:t>
            </w:r>
          </w:p>
        </w:tc>
      </w:tr>
      <w:tr>
        <w:tc>
          <w:tcPr>
            <w:tcW w:w="3040" w:type="dxa"/>
            <w:tcBorders>
              <w:top w:val="nil"/>
              <w:left w:val="nil"/>
              <w:bottom w:val="nil"/>
              <w:right w:val="nil"/>
            </w:tcBorders>
          </w:tcPr>
          <w:p>
            <w:pPr>
              <w:pStyle w:val="0"/>
              <w:jc w:val="both"/>
            </w:pPr>
            <w:r>
              <w:rPr>
                <w:sz w:val="20"/>
              </w:rPr>
              <w:t xml:space="preserve">Должности работников учебно-вспомогательного персонала второго уровня</w:t>
            </w:r>
          </w:p>
        </w:tc>
        <w:tc>
          <w:tcPr>
            <w:tcW w:w="1557" w:type="dxa"/>
            <w:tcBorders>
              <w:top w:val="nil"/>
              <w:left w:val="nil"/>
              <w:bottom w:val="nil"/>
              <w:right w:val="nil"/>
            </w:tcBorders>
          </w:tcPr>
          <w:p>
            <w:pPr>
              <w:pStyle w:val="0"/>
              <w:jc w:val="center"/>
            </w:pPr>
            <w:r>
              <w:rPr>
                <w:sz w:val="20"/>
              </w:rPr>
              <w:t xml:space="preserve">1</w:t>
            </w:r>
          </w:p>
        </w:tc>
        <w:tc>
          <w:tcPr>
            <w:tcW w:w="2835" w:type="dxa"/>
            <w:tcBorders>
              <w:top w:val="nil"/>
              <w:left w:val="nil"/>
              <w:bottom w:val="nil"/>
              <w:right w:val="nil"/>
            </w:tcBorders>
          </w:tcPr>
          <w:p>
            <w:pPr>
              <w:pStyle w:val="0"/>
              <w:jc w:val="both"/>
            </w:pPr>
            <w:r>
              <w:rPr>
                <w:sz w:val="20"/>
              </w:rPr>
              <w:t xml:space="preserve">Младший воспитатель</w:t>
            </w:r>
          </w:p>
        </w:tc>
        <w:tc>
          <w:tcPr>
            <w:tcW w:w="1474" w:type="dxa"/>
            <w:tcBorders>
              <w:top w:val="nil"/>
              <w:left w:val="nil"/>
              <w:bottom w:val="nil"/>
              <w:right w:val="nil"/>
            </w:tcBorders>
          </w:tcPr>
          <w:p>
            <w:pPr>
              <w:pStyle w:val="0"/>
              <w:jc w:val="center"/>
            </w:pPr>
            <w:r>
              <w:rPr>
                <w:sz w:val="20"/>
              </w:rPr>
              <w:t xml:space="preserve">11 545</w:t>
            </w:r>
          </w:p>
        </w:tc>
      </w:tr>
      <w:tr>
        <w:tc>
          <w:tcPr>
            <w:tcW w:w="3040" w:type="dxa"/>
            <w:tcBorders>
              <w:top w:val="nil"/>
              <w:left w:val="nil"/>
              <w:bottom w:val="nil"/>
              <w:right w:val="nil"/>
            </w:tcBorders>
          </w:tcPr>
          <w:p>
            <w:pPr>
              <w:pStyle w:val="0"/>
              <w:jc w:val="both"/>
            </w:pPr>
            <w:r>
              <w:rPr>
                <w:sz w:val="20"/>
              </w:rPr>
              <w:t xml:space="preserve">Должности педагогических работников</w:t>
            </w:r>
          </w:p>
        </w:tc>
        <w:tc>
          <w:tcPr>
            <w:tcW w:w="1557" w:type="dxa"/>
            <w:tcBorders>
              <w:top w:val="nil"/>
              <w:left w:val="nil"/>
              <w:bottom w:val="nil"/>
              <w:right w:val="nil"/>
            </w:tcBorders>
          </w:tcPr>
          <w:p>
            <w:pPr>
              <w:pStyle w:val="0"/>
              <w:jc w:val="center"/>
            </w:pPr>
            <w:r>
              <w:rPr>
                <w:sz w:val="20"/>
              </w:rPr>
              <w:t xml:space="preserve">1</w:t>
            </w:r>
          </w:p>
        </w:tc>
        <w:tc>
          <w:tcPr>
            <w:tcW w:w="2835" w:type="dxa"/>
            <w:tcBorders>
              <w:top w:val="nil"/>
              <w:left w:val="nil"/>
              <w:bottom w:val="nil"/>
              <w:right w:val="nil"/>
            </w:tcBorders>
          </w:tcPr>
          <w:p>
            <w:pPr>
              <w:pStyle w:val="0"/>
              <w:jc w:val="both"/>
            </w:pPr>
            <w:r>
              <w:rPr>
                <w:sz w:val="20"/>
              </w:rPr>
              <w:t xml:space="preserve">Инструктор по труду, музыкальный руководитель</w:t>
            </w:r>
          </w:p>
        </w:tc>
        <w:tc>
          <w:tcPr>
            <w:tcW w:w="1474" w:type="dxa"/>
            <w:tcBorders>
              <w:top w:val="nil"/>
              <w:left w:val="nil"/>
              <w:bottom w:val="nil"/>
              <w:right w:val="nil"/>
            </w:tcBorders>
          </w:tcPr>
          <w:p>
            <w:pPr>
              <w:pStyle w:val="0"/>
              <w:jc w:val="center"/>
            </w:pPr>
            <w:r>
              <w:rPr>
                <w:sz w:val="20"/>
              </w:rPr>
              <w:t xml:space="preserve">12 551</w:t>
            </w:r>
          </w:p>
        </w:tc>
      </w:tr>
      <w:tr>
        <w:tc>
          <w:tcPr>
            <w:tcW w:w="3040" w:type="dxa"/>
            <w:tcBorders>
              <w:top w:val="nil"/>
              <w:left w:val="nil"/>
              <w:bottom w:val="nil"/>
              <w:right w:val="nil"/>
            </w:tcBorders>
          </w:tcPr>
          <w:p>
            <w:pPr>
              <w:pStyle w:val="0"/>
              <w:jc w:val="both"/>
            </w:pPr>
            <w:r>
              <w:rPr>
                <w:sz w:val="20"/>
              </w:rPr>
              <w:t xml:space="preserve">Должности педагогических работников</w:t>
            </w:r>
          </w:p>
        </w:tc>
        <w:tc>
          <w:tcPr>
            <w:tcW w:w="155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Педагог-организатор, инструктор-методист, педагог дополнительного образования</w:t>
            </w:r>
          </w:p>
        </w:tc>
        <w:tc>
          <w:tcPr>
            <w:tcW w:w="1474" w:type="dxa"/>
            <w:tcBorders>
              <w:top w:val="nil"/>
              <w:left w:val="nil"/>
              <w:bottom w:val="nil"/>
              <w:right w:val="nil"/>
            </w:tcBorders>
          </w:tcPr>
          <w:p>
            <w:pPr>
              <w:pStyle w:val="0"/>
              <w:jc w:val="center"/>
            </w:pPr>
            <w:r>
              <w:rPr>
                <w:sz w:val="20"/>
              </w:rPr>
              <w:t xml:space="preserve">13 606</w:t>
            </w:r>
          </w:p>
        </w:tc>
      </w:tr>
      <w:tr>
        <w:tc>
          <w:tcPr>
            <w:tcW w:w="3040" w:type="dxa"/>
            <w:tcBorders>
              <w:top w:val="nil"/>
              <w:left w:val="nil"/>
              <w:bottom w:val="nil"/>
              <w:right w:val="nil"/>
            </w:tcBorders>
          </w:tcPr>
          <w:p>
            <w:pPr>
              <w:pStyle w:val="0"/>
              <w:jc w:val="both"/>
            </w:pPr>
            <w:r>
              <w:rPr>
                <w:sz w:val="20"/>
              </w:rPr>
              <w:t xml:space="preserve">Должности педагогических работников</w:t>
            </w:r>
          </w:p>
        </w:tc>
        <w:tc>
          <w:tcPr>
            <w:tcW w:w="1557"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jc w:val="both"/>
            </w:pPr>
            <w:r>
              <w:rPr>
                <w:sz w:val="20"/>
              </w:rPr>
              <w:t xml:space="preserve">Мастер производственного обучения, методист, педагог-психолог, воспитатель, старший инструктор-методист</w:t>
            </w:r>
          </w:p>
        </w:tc>
        <w:tc>
          <w:tcPr>
            <w:tcW w:w="1474" w:type="dxa"/>
            <w:tcBorders>
              <w:top w:val="nil"/>
              <w:left w:val="nil"/>
              <w:bottom w:val="nil"/>
              <w:right w:val="nil"/>
            </w:tcBorders>
          </w:tcPr>
          <w:p>
            <w:pPr>
              <w:pStyle w:val="0"/>
              <w:jc w:val="center"/>
            </w:pPr>
            <w:r>
              <w:rPr>
                <w:sz w:val="20"/>
              </w:rPr>
              <w:t xml:space="preserve">15 681</w:t>
            </w:r>
          </w:p>
        </w:tc>
      </w:tr>
      <w:tr>
        <w:tc>
          <w:tcPr>
            <w:tcW w:w="3040" w:type="dxa"/>
            <w:tcBorders>
              <w:top w:val="nil"/>
              <w:left w:val="nil"/>
              <w:bottom w:val="nil"/>
              <w:right w:val="nil"/>
            </w:tcBorders>
          </w:tcPr>
          <w:p>
            <w:pPr>
              <w:pStyle w:val="0"/>
              <w:jc w:val="both"/>
            </w:pPr>
            <w:r>
              <w:rPr>
                <w:sz w:val="20"/>
              </w:rPr>
              <w:t xml:space="preserve">Должности педагогических работников</w:t>
            </w:r>
          </w:p>
        </w:tc>
        <w:tc>
          <w:tcPr>
            <w:tcW w:w="1557"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jc w:val="both"/>
            </w:pPr>
            <w:r>
              <w:rPr>
                <w:sz w:val="20"/>
              </w:rPr>
              <w:t xml:space="preserve">Старший воспитатель, учитель, учитель-дефектолог, учитель-логопед (логопед), старший методист</w:t>
            </w:r>
          </w:p>
        </w:tc>
        <w:tc>
          <w:tcPr>
            <w:tcW w:w="1474" w:type="dxa"/>
            <w:tcBorders>
              <w:top w:val="nil"/>
              <w:left w:val="nil"/>
              <w:bottom w:val="nil"/>
              <w:right w:val="nil"/>
            </w:tcBorders>
          </w:tcPr>
          <w:p>
            <w:pPr>
              <w:pStyle w:val="0"/>
              <w:jc w:val="center"/>
            </w:pPr>
            <w:r>
              <w:rPr>
                <w:sz w:val="20"/>
              </w:rPr>
              <w:t xml:space="preserve">17 064</w:t>
            </w:r>
          </w:p>
        </w:tc>
      </w:tr>
      <w:tr>
        <w:tc>
          <w:tcPr>
            <w:gridSpan w:val="4"/>
            <w:tcW w:w="8906" w:type="dxa"/>
            <w:tcBorders>
              <w:top w:val="nil"/>
              <w:left w:val="nil"/>
              <w:bottom w:val="nil"/>
              <w:right w:val="nil"/>
            </w:tcBorders>
          </w:tcPr>
          <w:p>
            <w:pPr>
              <w:pStyle w:val="0"/>
              <w:outlineLvl w:val="2"/>
              <w:jc w:val="center"/>
            </w:pPr>
            <w:r>
              <w:rPr>
                <w:sz w:val="20"/>
              </w:rPr>
              <w:t xml:space="preserve">Должности работников культуры, искусства и кинематографии</w:t>
            </w:r>
          </w:p>
        </w:tc>
      </w:tr>
      <w:tr>
        <w:tc>
          <w:tcPr>
            <w:tcW w:w="3040" w:type="dxa"/>
            <w:tcBorders>
              <w:top w:val="nil"/>
              <w:left w:val="nil"/>
              <w:bottom w:val="nil"/>
              <w:right w:val="nil"/>
            </w:tcBorders>
          </w:tcPr>
          <w:p>
            <w:pPr>
              <w:pStyle w:val="0"/>
              <w:jc w:val="both"/>
            </w:pPr>
            <w:r>
              <w:rPr>
                <w:sz w:val="20"/>
              </w:rPr>
              <w:t xml:space="preserve">Должности работников культуры, искусства и кинематографии среднего звена</w:t>
            </w:r>
          </w:p>
        </w:tc>
        <w:tc>
          <w:tcPr>
            <w:tcW w:w="1557" w:type="dxa"/>
            <w:tcBorders>
              <w:top w:val="nil"/>
              <w:left w:val="nil"/>
              <w:bottom w:val="nil"/>
              <w:right w:val="nil"/>
            </w:tcBorders>
          </w:tcPr>
          <w:p>
            <w:pPr>
              <w:pStyle w:val="0"/>
              <w:jc w:val="center"/>
            </w:pPr>
            <w:r>
              <w:rPr>
                <w:sz w:val="20"/>
              </w:rPr>
              <w:t xml:space="preserve">Не установлен</w:t>
            </w:r>
          </w:p>
        </w:tc>
        <w:tc>
          <w:tcPr>
            <w:tcW w:w="2835" w:type="dxa"/>
            <w:tcBorders>
              <w:top w:val="nil"/>
              <w:left w:val="nil"/>
              <w:bottom w:val="nil"/>
              <w:right w:val="nil"/>
            </w:tcBorders>
          </w:tcPr>
          <w:p>
            <w:pPr>
              <w:pStyle w:val="0"/>
              <w:jc w:val="both"/>
            </w:pPr>
            <w:r>
              <w:rPr>
                <w:sz w:val="20"/>
              </w:rPr>
              <w:t xml:space="preserve">Аккомпаниатор</w:t>
            </w:r>
          </w:p>
          <w:p>
            <w:pPr>
              <w:pStyle w:val="0"/>
              <w:jc w:val="both"/>
            </w:pPr>
            <w:r>
              <w:rPr>
                <w:sz w:val="20"/>
              </w:rPr>
              <w:t xml:space="preserve">Культорганизатор</w:t>
            </w:r>
          </w:p>
        </w:tc>
        <w:tc>
          <w:tcPr>
            <w:tcW w:w="1474" w:type="dxa"/>
            <w:tcBorders>
              <w:top w:val="nil"/>
              <w:left w:val="nil"/>
              <w:bottom w:val="nil"/>
              <w:right w:val="nil"/>
            </w:tcBorders>
          </w:tcPr>
          <w:p>
            <w:pPr>
              <w:pStyle w:val="0"/>
              <w:jc w:val="center"/>
            </w:pPr>
            <w:r>
              <w:rPr>
                <w:sz w:val="20"/>
              </w:rPr>
              <w:t xml:space="preserve">11 664</w:t>
            </w:r>
          </w:p>
        </w:tc>
      </w:tr>
      <w:tr>
        <w:tc>
          <w:tcPr>
            <w:tcW w:w="3040" w:type="dxa"/>
            <w:tcBorders>
              <w:top w:val="nil"/>
              <w:left w:val="nil"/>
              <w:bottom w:val="nil"/>
              <w:right w:val="nil"/>
            </w:tcBorders>
          </w:tcPr>
          <w:p>
            <w:pPr>
              <w:pStyle w:val="0"/>
              <w:jc w:val="both"/>
            </w:pPr>
            <w:r>
              <w:rPr>
                <w:sz w:val="20"/>
              </w:rPr>
              <w:t xml:space="preserve">Должности работников культуры, искусства и кинематографии ведущего звена</w:t>
            </w:r>
          </w:p>
        </w:tc>
        <w:tc>
          <w:tcPr>
            <w:tcW w:w="1557" w:type="dxa"/>
            <w:tcBorders>
              <w:top w:val="nil"/>
              <w:left w:val="nil"/>
              <w:bottom w:val="nil"/>
              <w:right w:val="nil"/>
            </w:tcBorders>
          </w:tcPr>
          <w:p>
            <w:pPr>
              <w:pStyle w:val="0"/>
              <w:jc w:val="center"/>
            </w:pPr>
            <w:r>
              <w:rPr>
                <w:sz w:val="20"/>
              </w:rPr>
              <w:t xml:space="preserve">Не установлен</w:t>
            </w:r>
          </w:p>
        </w:tc>
        <w:tc>
          <w:tcPr>
            <w:tcW w:w="2835" w:type="dxa"/>
            <w:tcBorders>
              <w:top w:val="nil"/>
              <w:left w:val="nil"/>
              <w:bottom w:val="nil"/>
              <w:right w:val="nil"/>
            </w:tcBorders>
          </w:tcPr>
          <w:p>
            <w:pPr>
              <w:pStyle w:val="0"/>
              <w:jc w:val="both"/>
            </w:pPr>
            <w:r>
              <w:rPr>
                <w:sz w:val="20"/>
              </w:rPr>
              <w:t xml:space="preserve">Библиотекарь</w:t>
            </w:r>
          </w:p>
        </w:tc>
        <w:tc>
          <w:tcPr>
            <w:tcW w:w="1474" w:type="dxa"/>
            <w:tcBorders>
              <w:top w:val="nil"/>
              <w:left w:val="nil"/>
              <w:bottom w:val="nil"/>
              <w:right w:val="nil"/>
            </w:tcBorders>
          </w:tcPr>
          <w:p>
            <w:pPr>
              <w:pStyle w:val="0"/>
              <w:jc w:val="center"/>
            </w:pPr>
            <w:r>
              <w:rPr>
                <w:sz w:val="20"/>
              </w:rPr>
              <w:t xml:space="preserve">12 042</w:t>
            </w:r>
          </w:p>
        </w:tc>
      </w:tr>
      <w:tr>
        <w:tc>
          <w:tcPr>
            <w:tcW w:w="3040" w:type="dxa"/>
            <w:tcBorders>
              <w:top w:val="nil"/>
              <w:left w:val="nil"/>
              <w:bottom w:val="nil"/>
              <w:right w:val="nil"/>
            </w:tcBorders>
          </w:tcPr>
          <w:p>
            <w:pPr>
              <w:pStyle w:val="0"/>
              <w:jc w:val="both"/>
            </w:pPr>
            <w:r>
              <w:rPr>
                <w:sz w:val="20"/>
              </w:rPr>
              <w:t xml:space="preserve">Должности руководящего состава учреждений культуры, искусства и кинематографии</w:t>
            </w:r>
          </w:p>
        </w:tc>
        <w:tc>
          <w:tcPr>
            <w:tcW w:w="1557" w:type="dxa"/>
            <w:tcBorders>
              <w:top w:val="nil"/>
              <w:left w:val="nil"/>
              <w:bottom w:val="nil"/>
              <w:right w:val="nil"/>
            </w:tcBorders>
          </w:tcPr>
          <w:p>
            <w:pPr>
              <w:pStyle w:val="0"/>
              <w:jc w:val="center"/>
            </w:pPr>
            <w:r>
              <w:rPr>
                <w:sz w:val="20"/>
              </w:rPr>
              <w:t xml:space="preserve">Не установлен</w:t>
            </w:r>
          </w:p>
        </w:tc>
        <w:tc>
          <w:tcPr>
            <w:tcW w:w="2835" w:type="dxa"/>
            <w:tcBorders>
              <w:top w:val="nil"/>
              <w:left w:val="nil"/>
              <w:bottom w:val="nil"/>
              <w:right w:val="nil"/>
            </w:tcBorders>
          </w:tcPr>
          <w:p>
            <w:pPr>
              <w:pStyle w:val="0"/>
              <w:jc w:val="both"/>
            </w:pPr>
            <w:r>
              <w:rPr>
                <w:sz w:val="20"/>
              </w:rPr>
              <w:t xml:space="preserve">Руководитель клубного формирования любительского объединения, студии, коллектива самодеятельного искусства, клуба по интересам</w:t>
            </w:r>
          </w:p>
          <w:p>
            <w:pPr>
              <w:pStyle w:val="0"/>
              <w:jc w:val="both"/>
            </w:pPr>
            <w:r>
              <w:rPr>
                <w:sz w:val="20"/>
              </w:rPr>
              <w:t xml:space="preserve">Заведующий отделом (сектором) библиотеки</w:t>
            </w:r>
          </w:p>
        </w:tc>
        <w:tc>
          <w:tcPr>
            <w:tcW w:w="1474" w:type="dxa"/>
            <w:tcBorders>
              <w:top w:val="nil"/>
              <w:left w:val="nil"/>
              <w:bottom w:val="nil"/>
              <w:right w:val="nil"/>
            </w:tcBorders>
          </w:tcPr>
          <w:p>
            <w:pPr>
              <w:pStyle w:val="0"/>
              <w:jc w:val="center"/>
            </w:pPr>
            <w:r>
              <w:rPr>
                <w:sz w:val="20"/>
              </w:rPr>
              <w:t xml:space="preserve">13 802</w:t>
            </w:r>
          </w:p>
        </w:tc>
      </w:tr>
      <w:tr>
        <w:tc>
          <w:tcPr>
            <w:gridSpan w:val="4"/>
            <w:tcW w:w="8906" w:type="dxa"/>
            <w:tcBorders>
              <w:top w:val="nil"/>
              <w:left w:val="nil"/>
              <w:bottom w:val="nil"/>
              <w:right w:val="nil"/>
            </w:tcBorders>
          </w:tcPr>
          <w:p>
            <w:pPr>
              <w:pStyle w:val="0"/>
              <w:outlineLvl w:val="2"/>
              <w:jc w:val="center"/>
            </w:pPr>
            <w:r>
              <w:rPr>
                <w:sz w:val="20"/>
              </w:rPr>
              <w:t xml:space="preserve">Должности работников печатных средств массовой информации</w:t>
            </w:r>
          </w:p>
        </w:tc>
      </w:tr>
      <w:tr>
        <w:tc>
          <w:tcPr>
            <w:tcW w:w="3040" w:type="dxa"/>
            <w:tcBorders>
              <w:top w:val="nil"/>
              <w:left w:val="nil"/>
              <w:bottom w:val="nil"/>
              <w:right w:val="nil"/>
            </w:tcBorders>
          </w:tcPr>
          <w:p>
            <w:pPr>
              <w:pStyle w:val="0"/>
              <w:jc w:val="both"/>
            </w:pPr>
            <w:r>
              <w:rPr>
                <w:sz w:val="20"/>
              </w:rPr>
              <w:t xml:space="preserve">Должности работников печатных средств массовой информации третьего уровня</w:t>
            </w:r>
          </w:p>
        </w:tc>
        <w:tc>
          <w:tcPr>
            <w:tcW w:w="155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Редактор</w:t>
            </w:r>
          </w:p>
        </w:tc>
        <w:tc>
          <w:tcPr>
            <w:tcW w:w="1474" w:type="dxa"/>
            <w:tcBorders>
              <w:top w:val="nil"/>
              <w:left w:val="nil"/>
              <w:bottom w:val="nil"/>
              <w:right w:val="nil"/>
            </w:tcBorders>
          </w:tcPr>
          <w:p>
            <w:pPr>
              <w:pStyle w:val="0"/>
              <w:jc w:val="center"/>
            </w:pPr>
            <w:r>
              <w:rPr>
                <w:sz w:val="20"/>
              </w:rPr>
              <w:t xml:space="preserve">11 911</w:t>
            </w:r>
          </w:p>
        </w:tc>
      </w:tr>
      <w:tr>
        <w:tc>
          <w:tcPr>
            <w:tcW w:w="3040" w:type="dxa"/>
            <w:tcBorders>
              <w:top w:val="nil"/>
              <w:left w:val="nil"/>
              <w:bottom w:val="nil"/>
              <w:right w:val="nil"/>
            </w:tcBorders>
          </w:tcPr>
          <w:p>
            <w:pPr>
              <w:pStyle w:val="0"/>
              <w:jc w:val="both"/>
            </w:pPr>
            <w:r>
              <w:rPr>
                <w:sz w:val="20"/>
              </w:rPr>
              <w:t xml:space="preserve">Должности работников печатных средств массовой информации третьего уровня</w:t>
            </w:r>
          </w:p>
        </w:tc>
        <w:tc>
          <w:tcPr>
            <w:tcW w:w="1557"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pPr>
            <w:r>
              <w:rPr>
                <w:sz w:val="20"/>
              </w:rPr>
              <w:t xml:space="preserve">Системный администратор</w:t>
            </w:r>
          </w:p>
        </w:tc>
        <w:tc>
          <w:tcPr>
            <w:tcW w:w="1474" w:type="dxa"/>
            <w:tcBorders>
              <w:top w:val="nil"/>
              <w:left w:val="nil"/>
              <w:bottom w:val="nil"/>
              <w:right w:val="nil"/>
            </w:tcBorders>
          </w:tcPr>
          <w:p>
            <w:pPr>
              <w:pStyle w:val="0"/>
              <w:jc w:val="center"/>
            </w:pPr>
            <w:r>
              <w:rPr>
                <w:sz w:val="20"/>
              </w:rPr>
              <w:t xml:space="preserve">15 681</w:t>
            </w:r>
          </w:p>
        </w:tc>
      </w:tr>
      <w:tr>
        <w:tc>
          <w:tcPr>
            <w:gridSpan w:val="4"/>
            <w:tcW w:w="8906" w:type="dxa"/>
            <w:tcBorders>
              <w:top w:val="nil"/>
              <w:left w:val="nil"/>
              <w:bottom w:val="nil"/>
              <w:right w:val="nil"/>
            </w:tcBorders>
          </w:tcPr>
          <w:p>
            <w:pPr>
              <w:pStyle w:val="0"/>
              <w:outlineLvl w:val="2"/>
              <w:jc w:val="center"/>
            </w:pPr>
            <w:r>
              <w:rPr>
                <w:sz w:val="20"/>
              </w:rPr>
              <w:t xml:space="preserve">Должности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tc>
          <w:tcPr>
            <w:tcW w:w="3040" w:type="dxa"/>
            <w:tcBorders>
              <w:top w:val="nil"/>
              <w:left w:val="nil"/>
              <w:bottom w:val="nil"/>
              <w:right w:val="nil"/>
            </w:tcBorders>
          </w:tcPr>
          <w:p>
            <w:pPr>
              <w:pStyle w:val="0"/>
              <w:jc w:val="both"/>
            </w:pPr>
            <w:r>
              <w:rPr>
                <w:sz w:val="20"/>
              </w:rPr>
              <w:t xml:space="preserve">Профессиональная квалификационная группа второго уровня</w:t>
            </w:r>
          </w:p>
        </w:tc>
        <w:tc>
          <w:tcPr>
            <w:tcW w:w="155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Специалист (ведущий специалист) гражданской обороны</w:t>
            </w:r>
          </w:p>
        </w:tc>
        <w:tc>
          <w:tcPr>
            <w:tcW w:w="1474" w:type="dxa"/>
            <w:tcBorders>
              <w:top w:val="nil"/>
              <w:left w:val="nil"/>
              <w:bottom w:val="nil"/>
              <w:right w:val="nil"/>
            </w:tcBorders>
          </w:tcPr>
          <w:p>
            <w:pPr>
              <w:pStyle w:val="0"/>
              <w:jc w:val="center"/>
            </w:pPr>
            <w:r>
              <w:rPr>
                <w:sz w:val="20"/>
              </w:rPr>
              <w:t xml:space="preserve">14 298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678" w:name="P678"/>
    <w:bookmarkEnd w:id="678"/>
    <w:p>
      <w:pPr>
        <w:pStyle w:val="2"/>
        <w:jc w:val="center"/>
      </w:pPr>
      <w:r>
        <w:rPr>
          <w:sz w:val="20"/>
        </w:rPr>
        <w:t xml:space="preserve">ОКЛАДЫ</w:t>
      </w:r>
    </w:p>
    <w:p>
      <w:pPr>
        <w:pStyle w:val="2"/>
        <w:jc w:val="center"/>
      </w:pPr>
      <w:r>
        <w:rPr>
          <w:sz w:val="20"/>
        </w:rPr>
        <w:t xml:space="preserve">ПО ПРОФЕССИЯМ РАБОЧИХ, ОТНЕСЕННЫМ К ПРОФЕССИОНАЛЬНЫМ</w:t>
      </w:r>
    </w:p>
    <w:p>
      <w:pPr>
        <w:pStyle w:val="2"/>
        <w:jc w:val="center"/>
      </w:pPr>
      <w:r>
        <w:rPr>
          <w:sz w:val="20"/>
        </w:rPr>
        <w:t xml:space="preserve">КВАЛИФИКАЦИОННЫМ ГРУППАМ ОБЩЕОТРАСЛЕВЫХ ПРОФЕССИЙ РАБОЧИХ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066"/>
        <w:gridCol w:w="1701"/>
        <w:gridCol w:w="1247"/>
      </w:tblGrid>
      <w:tr>
        <w:tblPrEx>
          <w:tblBorders>
            <w:left w:val="single" w:sz="4"/>
            <w:right w:val="single" w:sz="4"/>
            <w:insideV w:val="single" w:sz="4"/>
            <w:insideH w:val="single" w:sz="4"/>
          </w:tblBorders>
        </w:tblPrEx>
        <w:tc>
          <w:tcPr>
            <w:tcW w:w="6066" w:type="dxa"/>
            <w:tcBorders>
              <w:top w:val="single" w:sz="4"/>
              <w:bottom w:val="single" w:sz="4"/>
            </w:tcBorders>
          </w:tcPr>
          <w:p>
            <w:pPr>
              <w:pStyle w:val="0"/>
              <w:jc w:val="center"/>
            </w:pPr>
            <w:r>
              <w:rPr>
                <w:sz w:val="20"/>
              </w:rPr>
              <w:t xml:space="preserve">Наименование профессиональной квалификационной группы</w:t>
            </w:r>
          </w:p>
        </w:tc>
        <w:tc>
          <w:tcPr>
            <w:tcW w:w="1701" w:type="dxa"/>
            <w:tcBorders>
              <w:top w:val="single" w:sz="4"/>
              <w:bottom w:val="single" w:sz="4"/>
            </w:tcBorders>
          </w:tcPr>
          <w:p>
            <w:pPr>
              <w:pStyle w:val="0"/>
              <w:jc w:val="center"/>
            </w:pPr>
            <w:r>
              <w:rPr>
                <w:sz w:val="20"/>
              </w:rPr>
              <w:t xml:space="preserve">Квалификационный уровень</w:t>
            </w:r>
          </w:p>
        </w:tc>
        <w:tc>
          <w:tcPr>
            <w:tcW w:w="1247" w:type="dxa"/>
            <w:tcBorders>
              <w:top w:val="single" w:sz="4"/>
              <w:bottom w:val="single" w:sz="4"/>
            </w:tcBorders>
          </w:tcPr>
          <w:p>
            <w:pPr>
              <w:pStyle w:val="0"/>
              <w:jc w:val="center"/>
            </w:pPr>
            <w:r>
              <w:rPr>
                <w:sz w:val="20"/>
              </w:rPr>
              <w:t xml:space="preserve">Оклад, рублей</w:t>
            </w:r>
          </w:p>
        </w:tc>
      </w:tr>
      <w:tr>
        <w:tc>
          <w:tcPr>
            <w:tcW w:w="6066" w:type="dxa"/>
            <w:tcBorders>
              <w:top w:val="single" w:sz="4"/>
              <w:left w:val="nil"/>
              <w:bottom w:val="nil"/>
              <w:right w:val="nil"/>
            </w:tcBorders>
          </w:tcPr>
          <w:p>
            <w:pPr>
              <w:pStyle w:val="0"/>
            </w:pPr>
            <w:r>
              <w:rPr>
                <w:sz w:val="20"/>
              </w:rPr>
              <w:t xml:space="preserve">Общеотраслевые профессии рабочих первого уровня</w:t>
            </w:r>
          </w:p>
        </w:tc>
        <w:tc>
          <w:tcPr>
            <w:tcW w:w="1701" w:type="dxa"/>
            <w:tcBorders>
              <w:top w:val="single" w:sz="4"/>
              <w:left w:val="nil"/>
              <w:bottom w:val="nil"/>
              <w:right w:val="nil"/>
            </w:tcBorders>
          </w:tcPr>
          <w:p>
            <w:pPr>
              <w:pStyle w:val="0"/>
              <w:jc w:val="center"/>
            </w:pPr>
            <w:r>
              <w:rPr>
                <w:sz w:val="20"/>
              </w:rPr>
              <w:t xml:space="preserve">1</w:t>
            </w:r>
          </w:p>
        </w:tc>
        <w:tc>
          <w:tcPr>
            <w:tcW w:w="1247" w:type="dxa"/>
            <w:tcBorders>
              <w:top w:val="single" w:sz="4"/>
              <w:left w:val="nil"/>
              <w:bottom w:val="nil"/>
              <w:right w:val="nil"/>
            </w:tcBorders>
          </w:tcPr>
          <w:p>
            <w:pPr>
              <w:pStyle w:val="0"/>
              <w:jc w:val="center"/>
            </w:pPr>
            <w:r>
              <w:rPr>
                <w:sz w:val="20"/>
              </w:rPr>
              <w:t xml:space="preserve">10 659</w:t>
            </w:r>
          </w:p>
        </w:tc>
      </w:tr>
      <w:tr>
        <w:tc>
          <w:tcPr>
            <w:tcW w:w="6066" w:type="dxa"/>
            <w:tcBorders>
              <w:top w:val="nil"/>
              <w:left w:val="nil"/>
              <w:bottom w:val="nil"/>
              <w:right w:val="nil"/>
            </w:tcBorders>
          </w:tcPr>
          <w:p>
            <w:pPr>
              <w:pStyle w:val="0"/>
            </w:pPr>
            <w:r>
              <w:rPr>
                <w:sz w:val="20"/>
              </w:rPr>
              <w:t xml:space="preserve">Общеотраслевые профессии рабочих первого уровня</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10 907</w:t>
            </w:r>
          </w:p>
        </w:tc>
      </w:tr>
      <w:tr>
        <w:tc>
          <w:tcPr>
            <w:tcW w:w="6066" w:type="dxa"/>
            <w:tcBorders>
              <w:top w:val="nil"/>
              <w:left w:val="nil"/>
              <w:bottom w:val="nil"/>
              <w:right w:val="nil"/>
            </w:tcBorders>
          </w:tcPr>
          <w:p>
            <w:pPr>
              <w:pStyle w:val="0"/>
            </w:pPr>
            <w:r>
              <w:rPr>
                <w:sz w:val="20"/>
              </w:rPr>
              <w:t xml:space="preserve">Общеотраслевые профессии рабочих второго уровня</w:t>
            </w:r>
          </w:p>
        </w:tc>
        <w:tc>
          <w:tcPr>
            <w:tcW w:w="1701"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11 286</w:t>
            </w:r>
          </w:p>
        </w:tc>
      </w:tr>
      <w:tr>
        <w:tc>
          <w:tcPr>
            <w:tcW w:w="6066" w:type="dxa"/>
            <w:tcBorders>
              <w:top w:val="nil"/>
              <w:left w:val="nil"/>
              <w:bottom w:val="nil"/>
              <w:right w:val="nil"/>
            </w:tcBorders>
          </w:tcPr>
          <w:p>
            <w:pPr>
              <w:pStyle w:val="0"/>
            </w:pPr>
            <w:r>
              <w:rPr>
                <w:sz w:val="20"/>
              </w:rPr>
              <w:t xml:space="preserve">Общеотраслевые профессии рабочих второго уровня</w:t>
            </w:r>
          </w:p>
        </w:tc>
        <w:tc>
          <w:tcPr>
            <w:tcW w:w="170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11 545</w:t>
            </w:r>
          </w:p>
        </w:tc>
      </w:tr>
      <w:tr>
        <w:tc>
          <w:tcPr>
            <w:tcW w:w="6066" w:type="dxa"/>
            <w:tcBorders>
              <w:top w:val="nil"/>
              <w:left w:val="nil"/>
              <w:bottom w:val="nil"/>
              <w:right w:val="nil"/>
            </w:tcBorders>
          </w:tcPr>
          <w:p>
            <w:pPr>
              <w:pStyle w:val="0"/>
            </w:pPr>
            <w:r>
              <w:rPr>
                <w:sz w:val="20"/>
              </w:rPr>
              <w:t xml:space="preserve">Общеотраслевые профессии рабочих второго уровня</w:t>
            </w:r>
          </w:p>
        </w:tc>
        <w:tc>
          <w:tcPr>
            <w:tcW w:w="1701" w:type="dxa"/>
            <w:tcBorders>
              <w:top w:val="nil"/>
              <w:left w:val="nil"/>
              <w:bottom w:val="nil"/>
              <w:right w:val="nil"/>
            </w:tcBorders>
          </w:tcPr>
          <w:p>
            <w:pPr>
              <w:pStyle w:val="0"/>
              <w:jc w:val="center"/>
            </w:pPr>
            <w:r>
              <w:rPr>
                <w:sz w:val="20"/>
              </w:rPr>
              <w:t xml:space="preserve">3</w:t>
            </w:r>
          </w:p>
        </w:tc>
        <w:tc>
          <w:tcPr>
            <w:tcW w:w="1247" w:type="dxa"/>
            <w:tcBorders>
              <w:top w:val="nil"/>
              <w:left w:val="nil"/>
              <w:bottom w:val="nil"/>
              <w:right w:val="nil"/>
            </w:tcBorders>
          </w:tcPr>
          <w:p>
            <w:pPr>
              <w:pStyle w:val="0"/>
              <w:jc w:val="center"/>
            </w:pPr>
            <w:r>
              <w:rPr>
                <w:sz w:val="20"/>
              </w:rPr>
              <w:t xml:space="preserve">11 795</w:t>
            </w:r>
          </w:p>
        </w:tc>
      </w:tr>
      <w:tr>
        <w:tc>
          <w:tcPr>
            <w:tcW w:w="6066" w:type="dxa"/>
            <w:tcBorders>
              <w:top w:val="nil"/>
              <w:left w:val="nil"/>
              <w:bottom w:val="nil"/>
              <w:right w:val="nil"/>
            </w:tcBorders>
          </w:tcPr>
          <w:p>
            <w:pPr>
              <w:pStyle w:val="0"/>
            </w:pPr>
            <w:r>
              <w:rPr>
                <w:sz w:val="20"/>
              </w:rPr>
              <w:t xml:space="preserve">Общеотраслевые профессии рабочих второго уровня</w:t>
            </w:r>
          </w:p>
        </w:tc>
        <w:tc>
          <w:tcPr>
            <w:tcW w:w="1701" w:type="dxa"/>
            <w:tcBorders>
              <w:top w:val="nil"/>
              <w:left w:val="nil"/>
              <w:bottom w:val="nil"/>
              <w:right w:val="nil"/>
            </w:tcBorders>
          </w:tcPr>
          <w:p>
            <w:pPr>
              <w:pStyle w:val="0"/>
              <w:jc w:val="center"/>
            </w:pPr>
            <w:r>
              <w:rPr>
                <w:sz w:val="20"/>
              </w:rPr>
              <w:t xml:space="preserve">4</w:t>
            </w:r>
          </w:p>
        </w:tc>
        <w:tc>
          <w:tcPr>
            <w:tcW w:w="1247" w:type="dxa"/>
            <w:tcBorders>
              <w:top w:val="nil"/>
              <w:left w:val="nil"/>
              <w:bottom w:val="nil"/>
              <w:right w:val="nil"/>
            </w:tcBorders>
          </w:tcPr>
          <w:p>
            <w:pPr>
              <w:pStyle w:val="0"/>
              <w:jc w:val="center"/>
            </w:pPr>
            <w:r>
              <w:rPr>
                <w:sz w:val="20"/>
              </w:rPr>
              <w:t xml:space="preserve">12 537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718" w:name="P718"/>
    <w:bookmarkEnd w:id="718"/>
    <w:p>
      <w:pPr>
        <w:pStyle w:val="2"/>
        <w:jc w:val="center"/>
      </w:pPr>
      <w:r>
        <w:rPr>
          <w:sz w:val="20"/>
        </w:rPr>
        <w:t xml:space="preserve">МИНИМАЛЬНЫЙ РАЗМЕР</w:t>
      </w:r>
    </w:p>
    <w:p>
      <w:pPr>
        <w:pStyle w:val="2"/>
        <w:jc w:val="center"/>
      </w:pPr>
      <w:r>
        <w:rPr>
          <w:sz w:val="20"/>
        </w:rPr>
        <w:t xml:space="preserve">ДОПЛАТЫ ЗА ВРЕДНЫЕ И (ИЛИ) ОПАСНЫЕ УСЛОВИЯ ТРУДА РАБОТНИКАМ</w:t>
      </w:r>
    </w:p>
    <w:p>
      <w:pPr>
        <w:pStyle w:val="2"/>
        <w:jc w:val="center"/>
      </w:pPr>
      <w:r>
        <w:rPr>
          <w:sz w:val="20"/>
        </w:rPr>
        <w:t xml:space="preserve">УЧРЕЖДЕНИЙ, ЗАНЯТЫМ НА РАБОТАХ С ВРЕДНЫМИ И (ИЛИ) ОПАСНЫМИ</w:t>
      </w:r>
    </w:p>
    <w:p>
      <w:pPr>
        <w:pStyle w:val="2"/>
        <w:jc w:val="center"/>
      </w:pPr>
      <w:r>
        <w:rPr>
          <w:sz w:val="20"/>
        </w:rPr>
        <w:t xml:space="preserve">УСЛОВИЯМИ ТРУДА, СВЯЗАННЫМИ С ОКАЗАНИЕМ ПСИХИАТРИЧЕСКОЙ</w:t>
      </w:r>
    </w:p>
    <w:p>
      <w:pPr>
        <w:pStyle w:val="2"/>
        <w:jc w:val="center"/>
      </w:pPr>
      <w:r>
        <w:rPr>
          <w:sz w:val="20"/>
        </w:rPr>
        <w:t xml:space="preserve">ПОМОЩИ, ПРОТИВОТУБЕРКУЛЕЗНОЙ ПОМОЩИ, ДИАГНОСТИКОЙ И ЛЕЧЕНИЕМ</w:t>
      </w:r>
    </w:p>
    <w:p>
      <w:pPr>
        <w:pStyle w:val="2"/>
        <w:jc w:val="center"/>
      </w:pPr>
      <w:r>
        <w:rPr>
          <w:sz w:val="20"/>
        </w:rPr>
        <w:t xml:space="preserve">ВИЧ-ИНФИЦИРОВАННЫХ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27.06.2017 </w:t>
            </w:r>
            <w:hyperlink w:history="0" r:id="rId116"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408</w:t>
              </w:r>
            </w:hyperlink>
            <w:r>
              <w:rPr>
                <w:sz w:val="20"/>
                <w:color w:val="392c69"/>
              </w:rPr>
              <w:t xml:space="preserve">,</w:t>
            </w:r>
          </w:p>
          <w:p>
            <w:pPr>
              <w:pStyle w:val="0"/>
              <w:jc w:val="center"/>
            </w:pPr>
            <w:r>
              <w:rPr>
                <w:sz w:val="20"/>
                <w:color w:val="392c69"/>
              </w:rPr>
              <w:t xml:space="preserve">от 22.05.2019 </w:t>
            </w:r>
            <w:hyperlink w:history="0" r:id="rId117"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333</w:t>
              </w:r>
            </w:hyperlink>
            <w:r>
              <w:rPr>
                <w:sz w:val="20"/>
                <w:color w:val="392c69"/>
              </w:rPr>
              <w:t xml:space="preserve">, от 25.10.2023 </w:t>
            </w:r>
            <w:hyperlink w:history="0" r:id="rId118"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853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009"/>
        <w:gridCol w:w="3005"/>
      </w:tblGrid>
      <w:tr>
        <w:tblPrEx>
          <w:tblBorders>
            <w:left w:val="single" w:sz="4"/>
            <w:right w:val="single" w:sz="4"/>
            <w:insideV w:val="single" w:sz="4"/>
          </w:tblBorders>
        </w:tblPrEx>
        <w:tc>
          <w:tcPr>
            <w:tcW w:w="6009" w:type="dxa"/>
            <w:tcBorders>
              <w:top w:val="single" w:sz="4"/>
              <w:bottom w:val="nil"/>
            </w:tcBorders>
          </w:tcPr>
          <w:p>
            <w:pPr>
              <w:pStyle w:val="0"/>
              <w:jc w:val="center"/>
            </w:pPr>
            <w:r>
              <w:rPr>
                <w:sz w:val="20"/>
              </w:rPr>
              <w:t xml:space="preserve">Наименование учреждения, структурного подразделения, должности (специальности, категории)</w:t>
            </w:r>
          </w:p>
        </w:tc>
        <w:tc>
          <w:tcPr>
            <w:tcW w:w="3005" w:type="dxa"/>
            <w:tcBorders>
              <w:top w:val="single" w:sz="4"/>
              <w:bottom w:val="nil"/>
            </w:tcBorders>
          </w:tcPr>
          <w:p>
            <w:pPr>
              <w:pStyle w:val="0"/>
              <w:jc w:val="center"/>
            </w:pPr>
            <w:r>
              <w:rPr>
                <w:sz w:val="20"/>
              </w:rPr>
              <w:t xml:space="preserve">Минимальный размер доплаты</w:t>
            </w:r>
          </w:p>
        </w:tc>
      </w:tr>
      <w:tr>
        <w:tc>
          <w:tcPr>
            <w:gridSpan w:val="2"/>
            <w:tcW w:w="9014" w:type="dxa"/>
            <w:tcBorders>
              <w:top w:val="nil"/>
              <w:left w:val="nil"/>
              <w:bottom w:val="nil"/>
              <w:right w:val="nil"/>
            </w:tcBorders>
          </w:tcPr>
          <w:p>
            <w:pPr>
              <w:pStyle w:val="0"/>
              <w:outlineLvl w:val="2"/>
              <w:jc w:val="center"/>
            </w:pPr>
            <w:r>
              <w:rPr>
                <w:sz w:val="20"/>
              </w:rPr>
              <w:t xml:space="preserve">Специализированные учреждения, отделения, палаты, предназначенные для лечения, обследования и обслуживания больных СПИДом и ВИЧ-инфицированных</w:t>
            </w:r>
          </w:p>
        </w:tc>
      </w:tr>
      <w:tr>
        <w:tc>
          <w:tcPr>
            <w:tcW w:w="6009" w:type="dxa"/>
            <w:tcBorders>
              <w:top w:val="nil"/>
              <w:left w:val="nil"/>
              <w:bottom w:val="nil"/>
              <w:right w:val="nil"/>
            </w:tcBorders>
          </w:tcPr>
          <w:p>
            <w:pPr>
              <w:pStyle w:val="0"/>
            </w:pPr>
            <w:r>
              <w:rPr>
                <w:sz w:val="20"/>
              </w:rPr>
              <w:t xml:space="preserve">Медицинские работники, осуществляющие диагностику, лечение, обследование и обслуживание больных СПИДом и ВИЧ-инфицированных</w:t>
            </w:r>
          </w:p>
        </w:tc>
        <w:tc>
          <w:tcPr>
            <w:tcW w:w="3005" w:type="dxa"/>
            <w:tcBorders>
              <w:top w:val="nil"/>
              <w:left w:val="nil"/>
              <w:bottom w:val="nil"/>
              <w:right w:val="nil"/>
            </w:tcBorders>
          </w:tcPr>
          <w:p>
            <w:pPr>
              <w:pStyle w:val="0"/>
              <w:jc w:val="center"/>
            </w:pPr>
            <w:r>
              <w:rPr>
                <w:sz w:val="20"/>
              </w:rPr>
              <w:t xml:space="preserve">40%</w:t>
            </w:r>
          </w:p>
        </w:tc>
      </w:tr>
      <w:tr>
        <w:tc>
          <w:tcPr>
            <w:gridSpan w:val="2"/>
            <w:tcW w:w="9014" w:type="dxa"/>
            <w:tcBorders>
              <w:top w:val="nil"/>
              <w:left w:val="nil"/>
              <w:bottom w:val="nil"/>
              <w:right w:val="nil"/>
            </w:tcBorders>
          </w:tcPr>
          <w:p>
            <w:pPr>
              <w:pStyle w:val="0"/>
              <w:outlineLvl w:val="2"/>
              <w:jc w:val="center"/>
            </w:pPr>
            <w:r>
              <w:rPr>
                <w:sz w:val="20"/>
              </w:rPr>
              <w:t xml:space="preserve">Лечебно-профилактические учреждения, отделения, осуществляющие лабораторную диагностику ВИЧ-инфекции, диагностику и лечение ВИЧ-инфицированных</w:t>
            </w:r>
          </w:p>
        </w:tc>
      </w:tr>
      <w:tr>
        <w:tc>
          <w:tcPr>
            <w:tcW w:w="6009" w:type="dxa"/>
            <w:tcBorders>
              <w:top w:val="nil"/>
              <w:left w:val="nil"/>
              <w:bottom w:val="nil"/>
              <w:right w:val="nil"/>
            </w:tcBorders>
          </w:tcPr>
          <w:p>
            <w:pPr>
              <w:pStyle w:val="0"/>
            </w:pPr>
            <w:r>
              <w:rPr>
                <w:sz w:val="20"/>
              </w:rPr>
              <w:t xml:space="preserve">Заведующий структурным подразделением - врач-специалист, врач лабораторной клинической диагностики, врач-лаборант, врач-специалист, средний медицинский персонал, младший медицинский персонал</w:t>
            </w:r>
          </w:p>
        </w:tc>
        <w:tc>
          <w:tcPr>
            <w:tcW w:w="3005" w:type="dxa"/>
            <w:tcBorders>
              <w:top w:val="nil"/>
              <w:left w:val="nil"/>
              <w:bottom w:val="nil"/>
              <w:right w:val="nil"/>
            </w:tcBorders>
          </w:tcPr>
          <w:p>
            <w:pPr>
              <w:pStyle w:val="0"/>
              <w:jc w:val="center"/>
            </w:pPr>
            <w:r>
              <w:rPr>
                <w:sz w:val="20"/>
              </w:rPr>
              <w:t xml:space="preserve">20%</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19"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tc>
      </w:tr>
      <w:tr>
        <w:tc>
          <w:tcPr>
            <w:gridSpan w:val="2"/>
            <w:tcW w:w="9014" w:type="dxa"/>
            <w:tcBorders>
              <w:top w:val="nil"/>
              <w:left w:val="nil"/>
              <w:bottom w:val="nil"/>
              <w:right w:val="nil"/>
            </w:tcBorders>
          </w:tcPr>
          <w:p>
            <w:pPr>
              <w:pStyle w:val="0"/>
              <w:outlineLvl w:val="2"/>
              <w:jc w:val="center"/>
            </w:pPr>
            <w:r>
              <w:rPr>
                <w:sz w:val="20"/>
              </w:rPr>
              <w:t xml:space="preserve">Специализированные учреждения, предназначенные для лечения больных туберкулезом (противотуберкулезные диспансеры)</w:t>
            </w:r>
          </w:p>
        </w:tc>
      </w:tr>
      <w:tr>
        <w:tc>
          <w:tcPr>
            <w:tcW w:w="6009" w:type="dxa"/>
            <w:tcBorders>
              <w:top w:val="nil"/>
              <w:left w:val="nil"/>
              <w:bottom w:val="nil"/>
              <w:right w:val="nil"/>
            </w:tcBorders>
          </w:tcPr>
          <w:p>
            <w:pPr>
              <w:pStyle w:val="0"/>
            </w:pPr>
            <w:r>
              <w:rPr>
                <w:sz w:val="20"/>
              </w:rPr>
              <w:t xml:space="preserve">Медицинские работники, непосредственно участвующие в оказании противотуберкулезной помощи</w:t>
            </w:r>
          </w:p>
        </w:tc>
        <w:tc>
          <w:tcPr>
            <w:tcW w:w="3005" w:type="dxa"/>
            <w:tcBorders>
              <w:top w:val="nil"/>
              <w:left w:val="nil"/>
              <w:bottom w:val="nil"/>
              <w:right w:val="nil"/>
            </w:tcBorders>
          </w:tcPr>
          <w:p>
            <w:pPr>
              <w:pStyle w:val="0"/>
              <w:jc w:val="center"/>
            </w:pPr>
            <w:r>
              <w:rPr>
                <w:sz w:val="20"/>
              </w:rPr>
              <w:t xml:space="preserve">30%</w:t>
            </w:r>
          </w:p>
        </w:tc>
      </w:tr>
      <w:tr>
        <w:tc>
          <w:tcPr>
            <w:tcW w:w="6009" w:type="dxa"/>
            <w:tcBorders>
              <w:top w:val="nil"/>
              <w:left w:val="nil"/>
              <w:bottom w:val="nil"/>
              <w:right w:val="nil"/>
            </w:tcBorders>
          </w:tcPr>
          <w:p>
            <w:pPr>
              <w:pStyle w:val="0"/>
            </w:pPr>
            <w:r>
              <w:rPr>
                <w:sz w:val="20"/>
              </w:rPr>
              <w:t xml:space="preserve">Медицинские работники, непосредственно участвующие в оказании противотуберкулезной помощи больным с ВИЧ-инфекцией</w:t>
            </w:r>
          </w:p>
        </w:tc>
        <w:tc>
          <w:tcPr>
            <w:tcW w:w="3005" w:type="dxa"/>
            <w:tcBorders>
              <w:top w:val="nil"/>
              <w:left w:val="nil"/>
              <w:bottom w:val="nil"/>
              <w:right w:val="nil"/>
            </w:tcBorders>
          </w:tcPr>
          <w:p>
            <w:pPr>
              <w:pStyle w:val="0"/>
              <w:jc w:val="center"/>
            </w:pPr>
            <w:r>
              <w:rPr>
                <w:sz w:val="20"/>
              </w:rPr>
              <w:t xml:space="preserve">50%</w:t>
            </w:r>
          </w:p>
        </w:tc>
      </w:tr>
      <w:tr>
        <w:tc>
          <w:tcPr>
            <w:tcW w:w="6009" w:type="dxa"/>
            <w:tcBorders>
              <w:top w:val="nil"/>
              <w:left w:val="nil"/>
              <w:bottom w:val="nil"/>
              <w:right w:val="nil"/>
            </w:tcBorders>
          </w:tcPr>
          <w:p>
            <w:pPr>
              <w:pStyle w:val="0"/>
            </w:pPr>
            <w:r>
              <w:rPr>
                <w:sz w:val="20"/>
              </w:rPr>
              <w:t xml:space="preserve">Прочие работники, непосредственно участвующие в оказании противотуберкулезной помощи</w:t>
            </w:r>
          </w:p>
        </w:tc>
        <w:tc>
          <w:tcPr>
            <w:tcW w:w="3005" w:type="dxa"/>
            <w:tcBorders>
              <w:top w:val="nil"/>
              <w:left w:val="nil"/>
              <w:bottom w:val="nil"/>
              <w:right w:val="nil"/>
            </w:tcBorders>
          </w:tcPr>
          <w:p>
            <w:pPr>
              <w:pStyle w:val="0"/>
              <w:jc w:val="center"/>
            </w:pPr>
            <w:r>
              <w:rPr>
                <w:sz w:val="20"/>
              </w:rPr>
              <w:t xml:space="preserve">15%</w:t>
            </w:r>
          </w:p>
        </w:tc>
      </w:tr>
      <w:tr>
        <w:tc>
          <w:tcPr>
            <w:gridSpan w:val="2"/>
            <w:tcW w:w="9014" w:type="dxa"/>
            <w:tcBorders>
              <w:top w:val="nil"/>
              <w:left w:val="nil"/>
              <w:bottom w:val="nil"/>
              <w:right w:val="nil"/>
            </w:tcBorders>
          </w:tcPr>
          <w:p>
            <w:pPr>
              <w:pStyle w:val="0"/>
              <w:outlineLvl w:val="2"/>
              <w:jc w:val="center"/>
            </w:pPr>
            <w:r>
              <w:rPr>
                <w:sz w:val="20"/>
              </w:rPr>
              <w:t xml:space="preserve">Противотуберкулезные санатории, структурные подразделения и кабинеты</w:t>
            </w:r>
          </w:p>
        </w:tc>
      </w:tr>
      <w:tr>
        <w:tc>
          <w:tcPr>
            <w:tcW w:w="6009" w:type="dxa"/>
            <w:tcBorders>
              <w:top w:val="nil"/>
              <w:left w:val="nil"/>
              <w:bottom w:val="nil"/>
              <w:right w:val="nil"/>
            </w:tcBorders>
          </w:tcPr>
          <w:p>
            <w:pPr>
              <w:pStyle w:val="0"/>
            </w:pPr>
            <w:r>
              <w:rPr>
                <w:sz w:val="20"/>
              </w:rPr>
              <w:t xml:space="preserve">Медицинские работники, непосредственно участвующие в оказании противотуберкулезной помощи</w:t>
            </w:r>
          </w:p>
        </w:tc>
        <w:tc>
          <w:tcPr>
            <w:tcW w:w="3005" w:type="dxa"/>
            <w:tcBorders>
              <w:top w:val="nil"/>
              <w:left w:val="nil"/>
              <w:bottom w:val="nil"/>
              <w:right w:val="nil"/>
            </w:tcBorders>
          </w:tcPr>
          <w:p>
            <w:pPr>
              <w:pStyle w:val="0"/>
              <w:jc w:val="center"/>
            </w:pPr>
            <w:r>
              <w:rPr>
                <w:sz w:val="20"/>
              </w:rPr>
              <w:t xml:space="preserve">15%</w:t>
            </w:r>
          </w:p>
        </w:tc>
      </w:tr>
      <w:tr>
        <w:tc>
          <w:tcPr>
            <w:gridSpan w:val="2"/>
            <w:tcW w:w="9014" w:type="dxa"/>
            <w:tcBorders>
              <w:top w:val="nil"/>
              <w:left w:val="nil"/>
              <w:bottom w:val="nil"/>
              <w:right w:val="nil"/>
            </w:tcBorders>
          </w:tcPr>
          <w:p>
            <w:pPr>
              <w:pStyle w:val="0"/>
              <w:outlineLvl w:val="2"/>
              <w:jc w:val="center"/>
            </w:pPr>
            <w:r>
              <w:rPr>
                <w:sz w:val="20"/>
              </w:rPr>
              <w:t xml:space="preserve">Специализированные учреждения, предназначенные для лечения психически больных (психоневрологические диспансеры, психиатрические больницы)</w:t>
            </w:r>
          </w:p>
        </w:tc>
      </w:tr>
      <w:tr>
        <w:tc>
          <w:tcPr>
            <w:tcW w:w="6009" w:type="dxa"/>
            <w:tcBorders>
              <w:top w:val="nil"/>
              <w:left w:val="nil"/>
              <w:bottom w:val="nil"/>
              <w:right w:val="nil"/>
            </w:tcBorders>
          </w:tcPr>
          <w:p>
            <w:pPr>
              <w:pStyle w:val="0"/>
            </w:pPr>
            <w:r>
              <w:rPr>
                <w:sz w:val="20"/>
              </w:rPr>
              <w:t xml:space="preserve">Медицинский персонал, непосредственно участвующий в оказании психиатрической помощи</w:t>
            </w:r>
          </w:p>
        </w:tc>
        <w:tc>
          <w:tcPr>
            <w:tcW w:w="3005" w:type="dxa"/>
            <w:tcBorders>
              <w:top w:val="nil"/>
              <w:left w:val="nil"/>
              <w:bottom w:val="nil"/>
              <w:right w:val="nil"/>
            </w:tcBorders>
          </w:tcPr>
          <w:p>
            <w:pPr>
              <w:pStyle w:val="0"/>
              <w:jc w:val="center"/>
            </w:pPr>
            <w:r>
              <w:rPr>
                <w:sz w:val="20"/>
              </w:rPr>
              <w:t xml:space="preserve">20%</w:t>
            </w:r>
          </w:p>
        </w:tc>
      </w:tr>
      <w:tr>
        <w:tc>
          <w:tcPr>
            <w:tcW w:w="6009" w:type="dxa"/>
            <w:tcBorders>
              <w:top w:val="nil"/>
              <w:left w:val="nil"/>
              <w:bottom w:val="nil"/>
              <w:right w:val="nil"/>
            </w:tcBorders>
          </w:tcPr>
          <w:p>
            <w:pPr>
              <w:pStyle w:val="0"/>
            </w:pPr>
            <w:r>
              <w:rPr>
                <w:sz w:val="20"/>
              </w:rPr>
              <w:t xml:space="preserve">Медицинский персонал, непосредственно участвующий в оказании психиатрической помощи больным с ВИЧ-инфекцией</w:t>
            </w:r>
          </w:p>
        </w:tc>
        <w:tc>
          <w:tcPr>
            <w:tcW w:w="3005" w:type="dxa"/>
            <w:tcBorders>
              <w:top w:val="nil"/>
              <w:left w:val="nil"/>
              <w:bottom w:val="nil"/>
              <w:right w:val="nil"/>
            </w:tcBorders>
          </w:tcPr>
          <w:p>
            <w:pPr>
              <w:pStyle w:val="0"/>
              <w:jc w:val="center"/>
            </w:pPr>
            <w:r>
              <w:rPr>
                <w:sz w:val="20"/>
              </w:rPr>
              <w:t xml:space="preserve">30%</w:t>
            </w:r>
          </w:p>
        </w:tc>
      </w:tr>
      <w:tr>
        <w:tc>
          <w:tcPr>
            <w:tcW w:w="6009" w:type="dxa"/>
            <w:tcBorders>
              <w:top w:val="nil"/>
              <w:left w:val="nil"/>
              <w:bottom w:val="nil"/>
              <w:right w:val="nil"/>
            </w:tcBorders>
          </w:tcPr>
          <w:p>
            <w:pPr>
              <w:pStyle w:val="0"/>
            </w:pPr>
            <w:r>
              <w:rPr>
                <w:sz w:val="20"/>
              </w:rPr>
              <w:t xml:space="preserve">Медицинский персонал, непосредственно участвующий в оказании психиатрической помощи больным с туберкулезом</w:t>
            </w:r>
          </w:p>
        </w:tc>
        <w:tc>
          <w:tcPr>
            <w:tcW w:w="3005" w:type="dxa"/>
            <w:tcBorders>
              <w:top w:val="nil"/>
              <w:left w:val="nil"/>
              <w:bottom w:val="nil"/>
              <w:right w:val="nil"/>
            </w:tcBorders>
          </w:tcPr>
          <w:p>
            <w:pPr>
              <w:pStyle w:val="0"/>
              <w:jc w:val="center"/>
            </w:pPr>
            <w:r>
              <w:rPr>
                <w:sz w:val="20"/>
              </w:rPr>
              <w:t xml:space="preserve">30%</w:t>
            </w:r>
          </w:p>
        </w:tc>
      </w:tr>
      <w:tr>
        <w:tc>
          <w:tcPr>
            <w:tcW w:w="6009" w:type="dxa"/>
            <w:tcBorders>
              <w:top w:val="nil"/>
              <w:left w:val="nil"/>
              <w:bottom w:val="nil"/>
              <w:right w:val="nil"/>
            </w:tcBorders>
          </w:tcPr>
          <w:p>
            <w:pPr>
              <w:pStyle w:val="0"/>
            </w:pPr>
            <w:r>
              <w:rPr>
                <w:sz w:val="20"/>
              </w:rPr>
              <w:t xml:space="preserve">Медицинский персонал, непосредственно участвующий в оказании психиатрической помощи больным с ВИЧ-инфекцией и туберкулезом</w:t>
            </w:r>
          </w:p>
        </w:tc>
        <w:tc>
          <w:tcPr>
            <w:tcW w:w="3005" w:type="dxa"/>
            <w:tcBorders>
              <w:top w:val="nil"/>
              <w:left w:val="nil"/>
              <w:bottom w:val="nil"/>
              <w:right w:val="nil"/>
            </w:tcBorders>
          </w:tcPr>
          <w:p>
            <w:pPr>
              <w:pStyle w:val="0"/>
              <w:jc w:val="center"/>
            </w:pPr>
            <w:r>
              <w:rPr>
                <w:sz w:val="20"/>
              </w:rPr>
              <w:t xml:space="preserve">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769" w:name="P769"/>
    <w:bookmarkEnd w:id="769"/>
    <w:p>
      <w:pPr>
        <w:pStyle w:val="2"/>
        <w:jc w:val="center"/>
      </w:pPr>
      <w:r>
        <w:rPr>
          <w:sz w:val="20"/>
        </w:rPr>
        <w:t xml:space="preserve">ПОЛОЖЕНИЕ</w:t>
      </w:r>
    </w:p>
    <w:p>
      <w:pPr>
        <w:pStyle w:val="2"/>
        <w:jc w:val="center"/>
      </w:pPr>
      <w:r>
        <w:rPr>
          <w:sz w:val="20"/>
        </w:rPr>
        <w:t xml:space="preserve">О ПОРЯДКЕ УСТАНОВЛЕНИЯ И ВЫПЛАТЫ НАДБАВКИ ЗА ВЫСЛУГУ ЛЕТ</w:t>
      </w:r>
    </w:p>
    <w:p>
      <w:pPr>
        <w:pStyle w:val="2"/>
        <w:jc w:val="center"/>
      </w:pPr>
      <w:r>
        <w:rPr>
          <w:sz w:val="20"/>
        </w:rPr>
        <w:t xml:space="preserve">РАБОТНИКАМ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0"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Надбавка за выслугу лет работникам учреждений (далее - надбавка) устанавливается как по основной работе, так и по работе по совместительству в процентах к должностному окладу (окладу) в следующих размерах:</w:t>
      </w:r>
    </w:p>
    <w:bookmarkStart w:id="776" w:name="P776"/>
    <w:bookmarkEnd w:id="776"/>
    <w:p>
      <w:pPr>
        <w:pStyle w:val="0"/>
        <w:spacing w:before="200" w:line-rule="auto"/>
        <w:ind w:firstLine="540"/>
        <w:jc w:val="both"/>
      </w:pPr>
      <w:r>
        <w:rPr>
          <w:sz w:val="20"/>
        </w:rPr>
        <w:t xml:space="preserve">врачам, среднему, младшему медицинскому персоналу и водителям выездных бригад отделений плановой и экстренной консультативной помощи (станций санитарной авиации), старшим врачам станций (отделений) скорой медицинской помощи, врачам, среднему и младшему медицинскому персоналу и водителям, в том числе состоящим в штате автотранспортных предприятий, выездных бригад станций (отделений) скорой медицинской помощи и выездных реанимационных гематологических бригад </w:t>
      </w:r>
      <w:hyperlink w:history="0" w:anchor="P803" w:tooltip="&lt;1&gt; В таких же размерах выплачиваются надбавки к часовым ставкам врачей-консультантов (врачей-специалистов), привлекаемых отделениями плановой и экстренной консультативной помощи (станциями санитарной авиации) для оказания экстренной консультативной медицинской помощи, с учетом их выслуги лет в учреждениях здравоохранения на врачебных должностях всех наименований, в том числе и по совместительству, за время выполнения указанной работы с учетом времени переезда.">
        <w:r>
          <w:rPr>
            <w:sz w:val="20"/>
            <w:color w:val="0000ff"/>
          </w:rPr>
          <w:t xml:space="preserve">&lt;1&gt;</w:t>
        </w:r>
      </w:hyperlink>
      <w:r>
        <w:rPr>
          <w:sz w:val="20"/>
        </w:rPr>
        <w:t xml:space="preserve">:</w:t>
      </w:r>
    </w:p>
    <w:p>
      <w:pPr>
        <w:pStyle w:val="0"/>
        <w:spacing w:before="200" w:line-rule="auto"/>
        <w:ind w:firstLine="540"/>
        <w:jc w:val="both"/>
      </w:pPr>
      <w:r>
        <w:rPr>
          <w:sz w:val="20"/>
        </w:rPr>
        <w:t xml:space="preserve">при стаже работы от 1 до 5 лет - 15 процентов;</w:t>
      </w:r>
    </w:p>
    <w:p>
      <w:pPr>
        <w:pStyle w:val="0"/>
        <w:spacing w:before="200" w:line-rule="auto"/>
        <w:ind w:firstLine="540"/>
        <w:jc w:val="both"/>
      </w:pPr>
      <w:r>
        <w:rPr>
          <w:sz w:val="20"/>
        </w:rPr>
        <w:t xml:space="preserve">при стаже работы от 5 до 10 лет - 25 процентов;</w:t>
      </w:r>
    </w:p>
    <w:p>
      <w:pPr>
        <w:pStyle w:val="0"/>
        <w:spacing w:before="200" w:line-rule="auto"/>
        <w:ind w:firstLine="540"/>
        <w:jc w:val="both"/>
      </w:pPr>
      <w:r>
        <w:rPr>
          <w:sz w:val="20"/>
        </w:rPr>
        <w:t xml:space="preserve">при стаже работы свыше 10 лет - 30 процентов;</w:t>
      </w:r>
    </w:p>
    <w:p>
      <w:pPr>
        <w:pStyle w:val="0"/>
        <w:spacing w:before="200" w:line-rule="auto"/>
        <w:ind w:firstLine="540"/>
        <w:jc w:val="both"/>
      </w:pPr>
      <w:r>
        <w:rPr>
          <w:sz w:val="20"/>
        </w:rPr>
        <w:t xml:space="preserve">всем работникам учреждений, кроме работников, указанных в </w:t>
      </w:r>
      <w:hyperlink w:history="0" w:anchor="P776" w:tooltip="врачам, среднему, младшему медицинскому персоналу и водителям выездных бригад отделений плановой и экстренной консультативной помощи (станций санитарной авиации), старшим врачам станций (отделений) скорой медицинской помощи, врачам, среднему и младшему медицинскому персоналу и водителям, в том числе состоящим в штате автотранспортных предприятий, выездных бригад станций (отделений) скорой медицинской помощи и выездных реанимационных гематологических бригад &lt;1&gt;:">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w:t>
      </w:r>
      <w:hyperlink w:history="0" r:id="rId121"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при стаже работы от 1 до 5 лет - 7 процентов;</w:t>
      </w:r>
    </w:p>
    <w:p>
      <w:pPr>
        <w:pStyle w:val="0"/>
        <w:spacing w:before="200" w:line-rule="auto"/>
        <w:ind w:firstLine="540"/>
        <w:jc w:val="both"/>
      </w:pPr>
      <w:r>
        <w:rPr>
          <w:sz w:val="20"/>
        </w:rPr>
        <w:t xml:space="preserve">при стаже работы от 5 до 10 лет - 12 процентов;</w:t>
      </w:r>
    </w:p>
    <w:p>
      <w:pPr>
        <w:pStyle w:val="0"/>
        <w:spacing w:before="200" w:line-rule="auto"/>
        <w:ind w:firstLine="540"/>
        <w:jc w:val="both"/>
      </w:pPr>
      <w:r>
        <w:rPr>
          <w:sz w:val="20"/>
        </w:rPr>
        <w:t xml:space="preserve">при стаже работы свыше 10 лет - 15 процентов.</w:t>
      </w:r>
    </w:p>
    <w:bookmarkStart w:id="785" w:name="P785"/>
    <w:bookmarkEnd w:id="785"/>
    <w:p>
      <w:pPr>
        <w:pStyle w:val="0"/>
        <w:spacing w:before="200" w:line-rule="auto"/>
        <w:ind w:firstLine="540"/>
        <w:jc w:val="both"/>
      </w:pPr>
      <w:r>
        <w:rPr>
          <w:sz w:val="20"/>
        </w:rPr>
        <w:t xml:space="preserve">2. В стаж работы, дающий право на установление и выплату надбавки, включается время работы как по основной работе, так и по работе по совместительству:</w:t>
      </w:r>
    </w:p>
    <w:p>
      <w:pPr>
        <w:pStyle w:val="0"/>
        <w:spacing w:before="200" w:line-rule="auto"/>
        <w:ind w:firstLine="540"/>
        <w:jc w:val="both"/>
      </w:pPr>
      <w:r>
        <w:rPr>
          <w:sz w:val="20"/>
        </w:rPr>
        <w:t xml:space="preserve">в организациях здравоохранения, социальной защиты населения (в том числе организациях семьи и детей) независимо от ведомственной подчиненности и форм собственности, ФМБА России;</w:t>
      </w:r>
    </w:p>
    <w:p>
      <w:pPr>
        <w:pStyle w:val="0"/>
        <w:spacing w:before="200" w:line-rule="auto"/>
        <w:ind w:firstLine="540"/>
        <w:jc w:val="both"/>
      </w:pPr>
      <w:r>
        <w:rPr>
          <w:sz w:val="20"/>
        </w:rPr>
        <w:t xml:space="preserve">в органах управления здравоохранения, органах управления социальной защиты населения (в том числе в органах службы семьи и детей);</w:t>
      </w:r>
    </w:p>
    <w:p>
      <w:pPr>
        <w:pStyle w:val="0"/>
        <w:spacing w:before="200" w:line-rule="auto"/>
        <w:ind w:firstLine="540"/>
        <w:jc w:val="both"/>
      </w:pPr>
      <w:r>
        <w:rPr>
          <w:sz w:val="20"/>
        </w:rPr>
        <w:t xml:space="preserve">на врачебных и фельдшерских здравпунктах, являющихся структурными подразделениями организаций независимо от форм собственности;</w:t>
      </w:r>
    </w:p>
    <w:p>
      <w:pPr>
        <w:pStyle w:val="0"/>
        <w:spacing w:before="200" w:line-rule="auto"/>
        <w:ind w:firstLine="540"/>
        <w:jc w:val="both"/>
      </w:pPr>
      <w:r>
        <w:rPr>
          <w:sz w:val="20"/>
        </w:rPr>
        <w:t xml:space="preserve">в централизованных бухгалтериях при органах и учреждениях здравоохранения, социальной защиты населения (в том числе при органах и учреждениях семьи и детей);</w:t>
      </w:r>
    </w:p>
    <w:p>
      <w:pPr>
        <w:pStyle w:val="0"/>
        <w:spacing w:before="200" w:line-rule="auto"/>
        <w:ind w:firstLine="540"/>
        <w:jc w:val="both"/>
      </w:pPr>
      <w:r>
        <w:rPr>
          <w:sz w:val="20"/>
        </w:rPr>
        <w:t xml:space="preserve">время пребывания в интернатуре на базе клинических кафедр высших медицинских образовательных учреждений;</w:t>
      </w:r>
    </w:p>
    <w:p>
      <w:pPr>
        <w:pStyle w:val="0"/>
        <w:spacing w:before="200" w:line-rule="auto"/>
        <w:ind w:firstLine="540"/>
        <w:jc w:val="both"/>
      </w:pPr>
      <w:r>
        <w:rPr>
          <w:sz w:val="20"/>
        </w:rPr>
        <w:t xml:space="preserve">время пребывания в клинической ординатуре, аспирантуре и докторантуре по клиническим и фармацевтическим дисциплинам в высших образовательных и научно-исследовательских учреждениях;</w:t>
      </w:r>
    </w:p>
    <w:p>
      <w:pPr>
        <w:pStyle w:val="0"/>
        <w:spacing w:before="200" w:line-rule="auto"/>
        <w:ind w:firstLine="540"/>
        <w:jc w:val="both"/>
      </w:pPr>
      <w:r>
        <w:rPr>
          <w:sz w:val="20"/>
        </w:rPr>
        <w:t xml:space="preserve">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в учреждениях здравоохранения системы КГБ СССР, ФСБ России, МВД России, МЧС России, Минюста России,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 СВР России, Федеральной пограничной службы Российской Федерации и Федеральной службы налоговой полиции Российской Федерации, ГТК России, Федеральной службы Российской Федерации по контролю за оборотом наркотиков;</w:t>
      </w:r>
    </w:p>
    <w:p>
      <w:pPr>
        <w:pStyle w:val="0"/>
        <w:spacing w:before="200" w:line-rule="auto"/>
        <w:ind w:firstLine="540"/>
        <w:jc w:val="both"/>
      </w:pPr>
      <w:r>
        <w:rPr>
          <w:sz w:val="20"/>
        </w:rPr>
        <w:t xml:space="preserve">время работы на медицинских и фармацевтических должностях в учреждениях здравоохранения и социальной защиты населения (в том числе учреждениях семьи и детей) стран СНГ, а также республик, входивших в состав СССР до 01.01.1992;</w:t>
      </w:r>
    </w:p>
    <w:p>
      <w:pPr>
        <w:pStyle w:val="0"/>
        <w:spacing w:before="200" w:line-rule="auto"/>
        <w:ind w:firstLine="540"/>
        <w:jc w:val="both"/>
      </w:pPr>
      <w:r>
        <w:rPr>
          <w:sz w:val="20"/>
        </w:rPr>
        <w:t xml:space="preserve">время работы на медицинских и фармацевтических должностях в клиниках - лечебно-профилактических учреждениях (больницах, родильных домах и других учреждениях здравоохранения), входящих в состав высших медицинских образовательных учреждений, медицинских научных организаций, Федерального бюро медико-социальной экспертизы, научно-практических центров медико-социальной экспертизы и реабилитации инвалидов или подчиненных медицинским вузам и научным организациям и являющихся их структурными подразделениями;</w:t>
      </w:r>
    </w:p>
    <w:p>
      <w:pPr>
        <w:pStyle w:val="0"/>
        <w:spacing w:before="200" w:line-rule="auto"/>
        <w:ind w:firstLine="540"/>
        <w:jc w:val="both"/>
      </w:pPr>
      <w:r>
        <w:rPr>
          <w:sz w:val="20"/>
        </w:rPr>
        <w:t xml:space="preserve">время по уходу за ребенком до достижения им возраста трех лет при условии, что этому непосредственно предшествовала работа в учреждении здравоохранения и социальной защиты населения (в том числе учреждениях семьи и детей);</w:t>
      </w:r>
    </w:p>
    <w:p>
      <w:pPr>
        <w:pStyle w:val="0"/>
        <w:spacing w:before="200" w:line-rule="auto"/>
        <w:ind w:firstLine="540"/>
        <w:jc w:val="both"/>
      </w:pPr>
      <w:r>
        <w:rPr>
          <w:sz w:val="20"/>
        </w:rPr>
        <w:t xml:space="preserve">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ветеранов боевых действий на территории других государств, ветеранов, исполняющих обязанности военной службы в условиях чрезвычайного положения и вооруженных конфликтов, и граждан, общая продолжительность военной службы которых в льготном исчислении составляет 25 лет и более, время службы в Вооруженных Силах СССР, органах внутренних дел и государственной безопасности СССР, а также выполнения интернационального долга, в том числе нахождения военнослужащих в плену, при наличии справки военкомата.</w:t>
      </w:r>
    </w:p>
    <w:p>
      <w:pPr>
        <w:pStyle w:val="0"/>
        <w:spacing w:before="200" w:line-rule="auto"/>
        <w:ind w:firstLine="540"/>
        <w:jc w:val="both"/>
      </w:pPr>
      <w:r>
        <w:rPr>
          <w:sz w:val="20"/>
        </w:rPr>
        <w:t xml:space="preserve">В Центре утилизации медицинских отходов на основании решения руководителя в стаж работы могут включаться периоды работы (в совокупности не превышающие пяти лет) на должностях руководителей, специалистов и служащих на предприятиях, в учреждениях и организациях, опыт и знание работы в которых необходимы работникам для выполнения должностных обязанностей по занимаемой должности.</w:t>
      </w:r>
    </w:p>
    <w:p>
      <w:pPr>
        <w:pStyle w:val="0"/>
        <w:jc w:val="both"/>
      </w:pPr>
      <w:r>
        <w:rPr>
          <w:sz w:val="20"/>
        </w:rPr>
        <w:t xml:space="preserve">(абзац введен </w:t>
      </w:r>
      <w:hyperlink w:history="0" r:id="rId122"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25.10.2023 N 853)</w:t>
      </w:r>
    </w:p>
    <w:p>
      <w:pPr>
        <w:pStyle w:val="0"/>
        <w:spacing w:before="200" w:line-rule="auto"/>
        <w:ind w:firstLine="540"/>
        <w:jc w:val="both"/>
      </w:pPr>
      <w:r>
        <w:rPr>
          <w:sz w:val="20"/>
        </w:rPr>
        <w:t xml:space="preserve">3. Для определения размера надбавки время работы, указанное в </w:t>
      </w:r>
      <w:hyperlink w:history="0" w:anchor="P785" w:tooltip="2. В стаж работы, дающий право на установление и выплату надбавки, включается время работы как по основной работе, так и по работе по совместительству:">
        <w:r>
          <w:rPr>
            <w:sz w:val="20"/>
            <w:color w:val="0000ff"/>
          </w:rPr>
          <w:t xml:space="preserve">пункте 2</w:t>
        </w:r>
      </w:hyperlink>
      <w:r>
        <w:rPr>
          <w:sz w:val="20"/>
        </w:rPr>
        <w:t xml:space="preserve"> настоящего Положения, суммируется.</w:t>
      </w:r>
    </w:p>
    <w:p>
      <w:pPr>
        <w:pStyle w:val="0"/>
        <w:spacing w:before="200" w:line-rule="auto"/>
        <w:ind w:firstLine="540"/>
        <w:jc w:val="both"/>
      </w:pPr>
      <w:r>
        <w:rPr>
          <w:sz w:val="20"/>
        </w:rPr>
        <w:t xml:space="preserve">4. Основным документом для определения стажа работы, в соответствии с которым устанавливается размер надбавки, является трудовая книжка. Для подтверждения стажа работы могут быть представлены и другие документы.</w:t>
      </w:r>
    </w:p>
    <w:p>
      <w:pPr>
        <w:pStyle w:val="0"/>
        <w:spacing w:before="200" w:line-rule="auto"/>
        <w:ind w:firstLine="540"/>
        <w:jc w:val="both"/>
      </w:pPr>
      <w:r>
        <w:rPr>
          <w:sz w:val="20"/>
        </w:rPr>
        <w:t xml:space="preserve">5. Право на изменение размера надбавки возникает со дня наступления события либо со дня представления соответствующих документов.</w:t>
      </w:r>
    </w:p>
    <w:p>
      <w:pPr>
        <w:pStyle w:val="0"/>
        <w:spacing w:before="200" w:line-rule="auto"/>
        <w:ind w:firstLine="540"/>
        <w:jc w:val="both"/>
      </w:pPr>
      <w:r>
        <w:rPr>
          <w:sz w:val="20"/>
        </w:rPr>
        <w:t xml:space="preserve">--------------------------------</w:t>
      </w:r>
    </w:p>
    <w:bookmarkStart w:id="803" w:name="P803"/>
    <w:bookmarkEnd w:id="803"/>
    <w:p>
      <w:pPr>
        <w:pStyle w:val="0"/>
        <w:spacing w:before="200" w:line-rule="auto"/>
        <w:ind w:firstLine="540"/>
        <w:jc w:val="both"/>
      </w:pPr>
      <w:r>
        <w:rPr>
          <w:sz w:val="20"/>
        </w:rPr>
        <w:t xml:space="preserve">&lt;1&gt; В таких же размерах выплачиваются надбавки к часовым ставкам врачей-консультантов (врачей-специалистов), привлекаемых отделениями плановой и экстренной консультативной помощи (станциями санитарной авиации) для оказания экстренной консультативной медицинской помощи, с учетом их выслуги лет в учреждениях здравоохранения на врачебных должностях всех наименований, в том числе и по совместительству, за время выполнения указанной работы с учетом времени переезда.</w:t>
      </w:r>
    </w:p>
    <w:p>
      <w:pPr>
        <w:pStyle w:val="0"/>
        <w:spacing w:before="200" w:line-rule="auto"/>
        <w:ind w:firstLine="540"/>
        <w:jc w:val="both"/>
      </w:pPr>
      <w:r>
        <w:rPr>
          <w:sz w:val="20"/>
        </w:rPr>
        <w:t xml:space="preserve">За врачами выездных бригад станций (отделений) скорой медицинской помощи, перешедшими на должности главного врача станции скорой медицинской помощи и его заместителя,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 сохраняются надбавки в размерах, соответствующих выслуге лет в выездных бригадах.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818" w:name="P818"/>
    <w:bookmarkEnd w:id="818"/>
    <w:p>
      <w:pPr>
        <w:pStyle w:val="2"/>
        <w:jc w:val="center"/>
      </w:pPr>
      <w:r>
        <w:rPr>
          <w:sz w:val="20"/>
        </w:rPr>
        <w:t xml:space="preserve">ДОЛЖНОСТНЫЕ ОКЛАДЫ</w:t>
      </w:r>
    </w:p>
    <w:p>
      <w:pPr>
        <w:pStyle w:val="2"/>
        <w:jc w:val="center"/>
      </w:pPr>
      <w:r>
        <w:rPr>
          <w:sz w:val="20"/>
        </w:rPr>
        <w:t xml:space="preserve">РУКОВОДИТЕЛЕЙ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458"/>
        <w:gridCol w:w="5114"/>
      </w:tblGrid>
      <w:tr>
        <w:tblPrEx>
          <w:tblBorders>
            <w:left w:val="single" w:sz="4"/>
            <w:right w:val="single" w:sz="4"/>
            <w:insideV w:val="single" w:sz="4"/>
            <w:insideH w:val="single" w:sz="4"/>
          </w:tblBorders>
        </w:tblPrEx>
        <w:tc>
          <w:tcPr>
            <w:tcW w:w="3458" w:type="dxa"/>
            <w:tcBorders>
              <w:top w:val="single" w:sz="4"/>
              <w:bottom w:val="single" w:sz="4"/>
            </w:tcBorders>
          </w:tcPr>
          <w:p>
            <w:pPr>
              <w:pStyle w:val="0"/>
              <w:jc w:val="center"/>
            </w:pPr>
            <w:r>
              <w:rPr>
                <w:sz w:val="20"/>
              </w:rPr>
              <w:t xml:space="preserve">Группа по оплате труда руководителей учреждений</w:t>
            </w:r>
          </w:p>
        </w:tc>
        <w:tc>
          <w:tcPr>
            <w:tcW w:w="5114" w:type="dxa"/>
            <w:tcBorders>
              <w:top w:val="single" w:sz="4"/>
              <w:bottom w:val="single" w:sz="4"/>
            </w:tcBorders>
          </w:tcPr>
          <w:p>
            <w:pPr>
              <w:pStyle w:val="0"/>
              <w:jc w:val="center"/>
            </w:pPr>
            <w:r>
              <w:rPr>
                <w:sz w:val="20"/>
              </w:rPr>
              <w:t xml:space="preserve">Должностной оклад, рублей</w:t>
            </w:r>
          </w:p>
        </w:tc>
      </w:tr>
      <w:tr>
        <w:tc>
          <w:tcPr>
            <w:tcW w:w="3458" w:type="dxa"/>
            <w:tcBorders>
              <w:top w:val="single" w:sz="4"/>
              <w:left w:val="nil"/>
              <w:bottom w:val="nil"/>
              <w:right w:val="nil"/>
            </w:tcBorders>
          </w:tcPr>
          <w:p>
            <w:pPr>
              <w:pStyle w:val="0"/>
              <w:jc w:val="center"/>
            </w:pPr>
            <w:r>
              <w:rPr>
                <w:sz w:val="20"/>
              </w:rPr>
              <w:t xml:space="preserve">I</w:t>
            </w:r>
          </w:p>
        </w:tc>
        <w:tc>
          <w:tcPr>
            <w:tcW w:w="5114" w:type="dxa"/>
            <w:tcBorders>
              <w:top w:val="single" w:sz="4"/>
              <w:left w:val="nil"/>
              <w:bottom w:val="nil"/>
              <w:right w:val="nil"/>
            </w:tcBorders>
          </w:tcPr>
          <w:p>
            <w:pPr>
              <w:pStyle w:val="0"/>
              <w:jc w:val="center"/>
            </w:pPr>
            <w:r>
              <w:rPr>
                <w:sz w:val="20"/>
              </w:rPr>
              <w:t xml:space="preserve">51 142</w:t>
            </w:r>
          </w:p>
        </w:tc>
      </w:tr>
      <w:tr>
        <w:tc>
          <w:tcPr>
            <w:tcW w:w="3458" w:type="dxa"/>
            <w:tcBorders>
              <w:top w:val="nil"/>
              <w:left w:val="nil"/>
              <w:bottom w:val="nil"/>
              <w:right w:val="nil"/>
            </w:tcBorders>
          </w:tcPr>
          <w:p>
            <w:pPr>
              <w:pStyle w:val="0"/>
              <w:jc w:val="center"/>
            </w:pPr>
            <w:r>
              <w:rPr>
                <w:sz w:val="20"/>
              </w:rPr>
              <w:t xml:space="preserve">II</w:t>
            </w:r>
          </w:p>
        </w:tc>
        <w:tc>
          <w:tcPr>
            <w:tcW w:w="5114" w:type="dxa"/>
            <w:tcBorders>
              <w:top w:val="nil"/>
              <w:left w:val="nil"/>
              <w:bottom w:val="nil"/>
              <w:right w:val="nil"/>
            </w:tcBorders>
          </w:tcPr>
          <w:p>
            <w:pPr>
              <w:pStyle w:val="0"/>
              <w:jc w:val="center"/>
            </w:pPr>
            <w:r>
              <w:rPr>
                <w:sz w:val="20"/>
              </w:rPr>
              <w:t xml:space="preserve">47 162</w:t>
            </w:r>
          </w:p>
        </w:tc>
      </w:tr>
      <w:tr>
        <w:tc>
          <w:tcPr>
            <w:tcW w:w="3458" w:type="dxa"/>
            <w:tcBorders>
              <w:top w:val="nil"/>
              <w:left w:val="nil"/>
              <w:bottom w:val="nil"/>
              <w:right w:val="nil"/>
            </w:tcBorders>
          </w:tcPr>
          <w:p>
            <w:pPr>
              <w:pStyle w:val="0"/>
              <w:jc w:val="center"/>
            </w:pPr>
            <w:r>
              <w:rPr>
                <w:sz w:val="20"/>
              </w:rPr>
              <w:t xml:space="preserve">III</w:t>
            </w:r>
          </w:p>
        </w:tc>
        <w:tc>
          <w:tcPr>
            <w:tcW w:w="5114" w:type="dxa"/>
            <w:tcBorders>
              <w:top w:val="nil"/>
              <w:left w:val="nil"/>
              <w:bottom w:val="nil"/>
              <w:right w:val="nil"/>
            </w:tcBorders>
          </w:tcPr>
          <w:p>
            <w:pPr>
              <w:pStyle w:val="0"/>
              <w:jc w:val="center"/>
            </w:pPr>
            <w:r>
              <w:rPr>
                <w:sz w:val="20"/>
              </w:rPr>
              <w:t xml:space="preserve">43 783</w:t>
            </w:r>
          </w:p>
        </w:tc>
      </w:tr>
      <w:tr>
        <w:tc>
          <w:tcPr>
            <w:tcW w:w="3458" w:type="dxa"/>
            <w:tcBorders>
              <w:top w:val="nil"/>
              <w:left w:val="nil"/>
              <w:bottom w:val="nil"/>
              <w:right w:val="nil"/>
            </w:tcBorders>
          </w:tcPr>
          <w:p>
            <w:pPr>
              <w:pStyle w:val="0"/>
              <w:jc w:val="center"/>
            </w:pPr>
            <w:r>
              <w:rPr>
                <w:sz w:val="20"/>
              </w:rPr>
              <w:t xml:space="preserve">IV</w:t>
            </w:r>
          </w:p>
        </w:tc>
        <w:tc>
          <w:tcPr>
            <w:tcW w:w="5114" w:type="dxa"/>
            <w:tcBorders>
              <w:top w:val="nil"/>
              <w:left w:val="nil"/>
              <w:bottom w:val="nil"/>
              <w:right w:val="nil"/>
            </w:tcBorders>
          </w:tcPr>
          <w:p>
            <w:pPr>
              <w:pStyle w:val="0"/>
              <w:jc w:val="center"/>
            </w:pPr>
            <w:r>
              <w:rPr>
                <w:sz w:val="20"/>
              </w:rPr>
              <w:t xml:space="preserve">40 900</w:t>
            </w:r>
          </w:p>
        </w:tc>
      </w:tr>
      <w:tr>
        <w:tc>
          <w:tcPr>
            <w:tcW w:w="3458" w:type="dxa"/>
            <w:tcBorders>
              <w:top w:val="nil"/>
              <w:left w:val="nil"/>
              <w:bottom w:val="nil"/>
              <w:right w:val="nil"/>
            </w:tcBorders>
          </w:tcPr>
          <w:p>
            <w:pPr>
              <w:pStyle w:val="0"/>
              <w:jc w:val="center"/>
            </w:pPr>
            <w:r>
              <w:rPr>
                <w:sz w:val="20"/>
              </w:rPr>
              <w:t xml:space="preserve">V</w:t>
            </w:r>
          </w:p>
        </w:tc>
        <w:tc>
          <w:tcPr>
            <w:tcW w:w="5114" w:type="dxa"/>
            <w:tcBorders>
              <w:top w:val="nil"/>
              <w:left w:val="nil"/>
              <w:bottom w:val="nil"/>
              <w:right w:val="nil"/>
            </w:tcBorders>
          </w:tcPr>
          <w:p>
            <w:pPr>
              <w:pStyle w:val="0"/>
              <w:jc w:val="center"/>
            </w:pPr>
            <w:r>
              <w:rPr>
                <w:sz w:val="20"/>
              </w:rPr>
              <w:t xml:space="preserve">37 769</w:t>
            </w:r>
          </w:p>
        </w:tc>
      </w:tr>
      <w:tr>
        <w:tc>
          <w:tcPr>
            <w:tcW w:w="3458" w:type="dxa"/>
            <w:tcBorders>
              <w:top w:val="nil"/>
              <w:left w:val="nil"/>
              <w:bottom w:val="nil"/>
              <w:right w:val="nil"/>
            </w:tcBorders>
          </w:tcPr>
          <w:p>
            <w:pPr>
              <w:pStyle w:val="0"/>
              <w:jc w:val="center"/>
            </w:pPr>
            <w:r>
              <w:rPr>
                <w:sz w:val="20"/>
              </w:rPr>
              <w:t xml:space="preserve">Не установлена</w:t>
            </w:r>
          </w:p>
        </w:tc>
        <w:tc>
          <w:tcPr>
            <w:tcW w:w="5114" w:type="dxa"/>
            <w:tcBorders>
              <w:top w:val="nil"/>
              <w:left w:val="nil"/>
              <w:bottom w:val="nil"/>
              <w:right w:val="nil"/>
            </w:tcBorders>
          </w:tcPr>
          <w:p>
            <w:pPr>
              <w:pStyle w:val="0"/>
              <w:jc w:val="center"/>
            </w:pPr>
            <w:r>
              <w:rPr>
                <w:sz w:val="20"/>
              </w:rPr>
              <w:t xml:space="preserve">35 120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850" w:name="P850"/>
    <w:bookmarkEnd w:id="850"/>
    <w:p>
      <w:pPr>
        <w:pStyle w:val="2"/>
        <w:jc w:val="center"/>
      </w:pPr>
      <w:r>
        <w:rPr>
          <w:sz w:val="20"/>
        </w:rPr>
        <w:t xml:space="preserve">ПОКАЗАТЕЛИ</w:t>
      </w:r>
    </w:p>
    <w:p>
      <w:pPr>
        <w:pStyle w:val="2"/>
        <w:jc w:val="center"/>
      </w:pPr>
      <w:r>
        <w:rPr>
          <w:sz w:val="20"/>
        </w:rPr>
        <w:t xml:space="preserve">ОТНЕСЕНИЯ УЧРЕЖДЕНИЙ К ГРУППАМ ПО ОПЛАТЕ ТРУДА РУКОВОДИТЕЛЕЙ</w:t>
      </w:r>
    </w:p>
    <w:p>
      <w:pPr>
        <w:pStyle w:val="2"/>
        <w:jc w:val="center"/>
      </w:pPr>
      <w:r>
        <w:rPr>
          <w:sz w:val="20"/>
        </w:rPr>
        <w:t xml:space="preserve">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27.06.2017 </w:t>
            </w:r>
            <w:hyperlink w:history="0" r:id="rId124" w:tooltip="Постановление Правительства Самарской области от 27.06.2017 N 408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408</w:t>
              </w:r>
            </w:hyperlink>
            <w:r>
              <w:rPr>
                <w:sz w:val="20"/>
                <w:color w:val="392c69"/>
              </w:rPr>
              <w:t xml:space="preserve">,</w:t>
            </w:r>
          </w:p>
          <w:p>
            <w:pPr>
              <w:pStyle w:val="0"/>
              <w:jc w:val="center"/>
            </w:pPr>
            <w:r>
              <w:rPr>
                <w:sz w:val="20"/>
                <w:color w:val="392c69"/>
              </w:rPr>
              <w:t xml:space="preserve">от 22.05.2019 </w:t>
            </w:r>
            <w:hyperlink w:history="0" r:id="rId125"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333</w:t>
              </w:r>
            </w:hyperlink>
            <w:r>
              <w:rPr>
                <w:sz w:val="20"/>
                <w:color w:val="392c69"/>
              </w:rPr>
              <w:t xml:space="preserve">, от 25.10.2023 </w:t>
            </w:r>
            <w:hyperlink w:history="0" r:id="rId126"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853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57" w:name="P857"/>
    <w:bookmarkEnd w:id="857"/>
    <w:p>
      <w:pPr>
        <w:pStyle w:val="2"/>
        <w:outlineLvl w:val="2"/>
        <w:jc w:val="center"/>
      </w:pPr>
      <w:r>
        <w:rPr>
          <w:sz w:val="20"/>
        </w:rPr>
        <w:t xml:space="preserve">1. Больницы и другие лечебно-профилактические учреждения,</w:t>
      </w:r>
    </w:p>
    <w:p>
      <w:pPr>
        <w:pStyle w:val="2"/>
        <w:jc w:val="center"/>
      </w:pPr>
      <w:r>
        <w:rPr>
          <w:sz w:val="20"/>
        </w:rPr>
        <w:t xml:space="preserve">имеющие коечный фонд круглосуточного пребывания (кроме</w:t>
      </w:r>
    </w:p>
    <w:p>
      <w:pPr>
        <w:pStyle w:val="2"/>
        <w:jc w:val="center"/>
      </w:pPr>
      <w:r>
        <w:rPr>
          <w:sz w:val="20"/>
        </w:rPr>
        <w:t xml:space="preserve">учреждений, предусмотренных разделами 2, 3) </w:t>
      </w:r>
      <w:hyperlink w:history="0" w:anchor="P999" w:tooltip="&lt;1&gt; Группа по оплате труда руководителей центральных районных больниц, центральных городских больниц, центральных медико-санитарных частей определяется с учетом числа коек как в самих больницах (центральных медико-санитарных частях), так и в учреждениях, подведомственных им.">
        <w:r>
          <w:rPr>
            <w:sz w:val="20"/>
            <w:color w:val="0000ff"/>
          </w:rPr>
          <w:t xml:space="preserve">&lt;1&gt;</w:t>
        </w:r>
      </w:hyperlink>
    </w:p>
    <w:p>
      <w:pPr>
        <w:pStyle w:val="0"/>
        <w:jc w:val="center"/>
      </w:pPr>
      <w:r>
        <w:rPr>
          <w:sz w:val="20"/>
        </w:rPr>
        <w:t xml:space="preserve">(в ред. </w:t>
      </w:r>
      <w:hyperlink w:history="0" r:id="rId127"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22.05.2019 N 333)</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Число сметных коек </w:t>
            </w:r>
            <w:hyperlink w:history="0" w:anchor="P1002" w:tooltip="&lt;2&gt; При определении величины показателя &quot;Число сметных коек&quot; учитывается среднегодовое плановое число коек стационара, а также среднегодовое плановое число коек в дневных стационарах.">
              <w:r>
                <w:rPr>
                  <w:sz w:val="20"/>
                  <w:color w:val="0000ff"/>
                </w:rPr>
                <w:t xml:space="preserve">&lt;2&gt;</w:t>
              </w:r>
            </w:hyperlink>
          </w:p>
        </w:tc>
      </w:tr>
      <w:tr>
        <w:tc>
          <w:tcPr>
            <w:tcW w:w="2891" w:type="dxa"/>
            <w:tcBorders>
              <w:top w:val="single" w:sz="4"/>
              <w:left w:val="nil"/>
              <w:bottom w:val="nil"/>
              <w:right w:val="nil"/>
            </w:tcBorders>
          </w:tcPr>
          <w:p>
            <w:pPr>
              <w:pStyle w:val="0"/>
              <w:jc w:val="center"/>
            </w:pPr>
            <w:r>
              <w:rPr>
                <w:sz w:val="20"/>
              </w:rPr>
              <w:t xml:space="preserve">I</w:t>
            </w:r>
          </w:p>
        </w:tc>
        <w:tc>
          <w:tcPr>
            <w:tcW w:w="3288" w:type="dxa"/>
            <w:tcBorders>
              <w:top w:val="single" w:sz="4"/>
              <w:left w:val="nil"/>
              <w:bottom w:val="nil"/>
              <w:right w:val="nil"/>
            </w:tcBorders>
          </w:tcPr>
          <w:p>
            <w:pPr>
              <w:pStyle w:val="0"/>
              <w:jc w:val="center"/>
            </w:pPr>
            <w:r>
              <w:rPr>
                <w:sz w:val="20"/>
              </w:rPr>
              <w:t xml:space="preserve">1201 и более</w:t>
            </w:r>
          </w:p>
        </w:tc>
      </w:tr>
      <w:tr>
        <w:tc>
          <w:tcPr>
            <w:tcW w:w="2891" w:type="dxa"/>
            <w:tcBorders>
              <w:top w:val="nil"/>
              <w:left w:val="nil"/>
              <w:bottom w:val="nil"/>
              <w:right w:val="nil"/>
            </w:tcBorders>
          </w:tcPr>
          <w:p>
            <w:pPr>
              <w:pStyle w:val="0"/>
              <w:jc w:val="center"/>
            </w:pPr>
            <w:r>
              <w:rPr>
                <w:sz w:val="20"/>
              </w:rPr>
              <w:t xml:space="preserve">II</w:t>
            </w:r>
          </w:p>
        </w:tc>
        <w:tc>
          <w:tcPr>
            <w:tcW w:w="3288" w:type="dxa"/>
            <w:tcBorders>
              <w:top w:val="nil"/>
              <w:left w:val="nil"/>
              <w:bottom w:val="nil"/>
              <w:right w:val="nil"/>
            </w:tcBorders>
          </w:tcPr>
          <w:p>
            <w:pPr>
              <w:pStyle w:val="0"/>
              <w:jc w:val="center"/>
            </w:pPr>
            <w:r>
              <w:rPr>
                <w:sz w:val="20"/>
              </w:rPr>
              <w:t xml:space="preserve">от 801 до 1200</w:t>
            </w:r>
          </w:p>
        </w:tc>
      </w:tr>
      <w:tr>
        <w:tc>
          <w:tcPr>
            <w:tcW w:w="2891" w:type="dxa"/>
            <w:tcBorders>
              <w:top w:val="nil"/>
              <w:left w:val="nil"/>
              <w:bottom w:val="nil"/>
              <w:right w:val="nil"/>
            </w:tcBorders>
          </w:tcPr>
          <w:p>
            <w:pPr>
              <w:pStyle w:val="0"/>
              <w:jc w:val="center"/>
            </w:pPr>
            <w:r>
              <w:rPr>
                <w:sz w:val="20"/>
              </w:rPr>
              <w:t xml:space="preserve">III</w:t>
            </w:r>
          </w:p>
        </w:tc>
        <w:tc>
          <w:tcPr>
            <w:tcW w:w="3288" w:type="dxa"/>
            <w:tcBorders>
              <w:top w:val="nil"/>
              <w:left w:val="nil"/>
              <w:bottom w:val="nil"/>
              <w:right w:val="nil"/>
            </w:tcBorders>
          </w:tcPr>
          <w:p>
            <w:pPr>
              <w:pStyle w:val="0"/>
              <w:jc w:val="center"/>
            </w:pPr>
            <w:r>
              <w:rPr>
                <w:sz w:val="20"/>
              </w:rPr>
              <w:t xml:space="preserve">от 501 до 800</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от 251 до 500</w:t>
            </w:r>
          </w:p>
        </w:tc>
      </w:tr>
      <w:tr>
        <w:tc>
          <w:tcPr>
            <w:tcW w:w="2891" w:type="dxa"/>
            <w:tcBorders>
              <w:top w:val="nil"/>
              <w:left w:val="nil"/>
              <w:bottom w:val="nil"/>
              <w:right w:val="nil"/>
            </w:tcBorders>
          </w:tcPr>
          <w:p>
            <w:pPr>
              <w:pStyle w:val="0"/>
              <w:jc w:val="center"/>
            </w:pPr>
            <w:r>
              <w:rPr>
                <w:sz w:val="20"/>
              </w:rPr>
              <w:t xml:space="preserve">V</w:t>
            </w:r>
          </w:p>
        </w:tc>
        <w:tc>
          <w:tcPr>
            <w:tcW w:w="3288" w:type="dxa"/>
            <w:tcBorders>
              <w:top w:val="nil"/>
              <w:left w:val="nil"/>
              <w:bottom w:val="nil"/>
              <w:right w:val="nil"/>
            </w:tcBorders>
          </w:tcPr>
          <w:p>
            <w:pPr>
              <w:pStyle w:val="0"/>
              <w:jc w:val="center"/>
            </w:pPr>
            <w:r>
              <w:rPr>
                <w:sz w:val="20"/>
              </w:rPr>
              <w:t xml:space="preserve">от 50 до 250</w:t>
            </w:r>
          </w:p>
        </w:tc>
      </w:tr>
    </w:tbl>
    <w:p>
      <w:pPr>
        <w:pStyle w:val="0"/>
        <w:jc w:val="both"/>
      </w:pPr>
      <w:r>
        <w:rPr>
          <w:sz w:val="20"/>
        </w:rPr>
        <w:t xml:space="preserve">(в ред. </w:t>
      </w:r>
      <w:hyperlink w:history="0" r:id="rId128"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jc w:val="both"/>
      </w:pPr>
      <w:r>
        <w:rPr>
          <w:sz w:val="20"/>
        </w:rPr>
      </w:r>
    </w:p>
    <w:bookmarkStart w:id="877" w:name="P877"/>
    <w:bookmarkEnd w:id="877"/>
    <w:p>
      <w:pPr>
        <w:pStyle w:val="2"/>
        <w:outlineLvl w:val="2"/>
        <w:jc w:val="center"/>
      </w:pPr>
      <w:r>
        <w:rPr>
          <w:sz w:val="20"/>
        </w:rPr>
        <w:t xml:space="preserve">2. Психиатрическая больница, психоневрологические,</w:t>
      </w:r>
    </w:p>
    <w:p>
      <w:pPr>
        <w:pStyle w:val="2"/>
        <w:jc w:val="center"/>
      </w:pPr>
      <w:r>
        <w:rPr>
          <w:sz w:val="20"/>
        </w:rPr>
        <w:t xml:space="preserve">наркологические диспансеры, санатории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Число сметных коек </w:t>
            </w:r>
            <w:hyperlink w:history="0" w:anchor="P1002" w:tooltip="&lt;2&gt; При определении величины показателя &quot;Число сметных коек&quot; учитывается среднегодовое плановое число коек стационара, а также среднегодовое плановое число коек в дневных стационарах.">
              <w:r>
                <w:rPr>
                  <w:sz w:val="20"/>
                  <w:color w:val="0000ff"/>
                </w:rPr>
                <w:t xml:space="preserve">&lt;2&gt;</w:t>
              </w:r>
            </w:hyperlink>
          </w:p>
        </w:tc>
      </w:tr>
      <w:tr>
        <w:tc>
          <w:tcPr>
            <w:tcW w:w="2891" w:type="dxa"/>
            <w:tcBorders>
              <w:top w:val="single" w:sz="4"/>
              <w:left w:val="nil"/>
              <w:bottom w:val="nil"/>
              <w:right w:val="nil"/>
            </w:tcBorders>
          </w:tcPr>
          <w:p>
            <w:pPr>
              <w:pStyle w:val="0"/>
              <w:jc w:val="center"/>
            </w:pPr>
            <w:r>
              <w:rPr>
                <w:sz w:val="20"/>
              </w:rPr>
              <w:t xml:space="preserve">I</w:t>
            </w:r>
          </w:p>
        </w:tc>
        <w:tc>
          <w:tcPr>
            <w:tcW w:w="3288" w:type="dxa"/>
            <w:tcBorders>
              <w:top w:val="single" w:sz="4"/>
              <w:left w:val="nil"/>
              <w:bottom w:val="nil"/>
              <w:right w:val="nil"/>
            </w:tcBorders>
          </w:tcPr>
          <w:p>
            <w:pPr>
              <w:pStyle w:val="0"/>
              <w:jc w:val="center"/>
            </w:pPr>
            <w:r>
              <w:rPr>
                <w:sz w:val="20"/>
              </w:rPr>
              <w:t xml:space="preserve">2001 и более</w:t>
            </w:r>
          </w:p>
        </w:tc>
      </w:tr>
      <w:tr>
        <w:tc>
          <w:tcPr>
            <w:tcW w:w="2891" w:type="dxa"/>
            <w:tcBorders>
              <w:top w:val="nil"/>
              <w:left w:val="nil"/>
              <w:bottom w:val="nil"/>
              <w:right w:val="nil"/>
            </w:tcBorders>
          </w:tcPr>
          <w:p>
            <w:pPr>
              <w:pStyle w:val="0"/>
              <w:jc w:val="center"/>
            </w:pPr>
            <w:r>
              <w:rPr>
                <w:sz w:val="20"/>
              </w:rPr>
              <w:t xml:space="preserve">II</w:t>
            </w:r>
          </w:p>
        </w:tc>
        <w:tc>
          <w:tcPr>
            <w:tcW w:w="3288" w:type="dxa"/>
            <w:tcBorders>
              <w:top w:val="nil"/>
              <w:left w:val="nil"/>
              <w:bottom w:val="nil"/>
              <w:right w:val="nil"/>
            </w:tcBorders>
          </w:tcPr>
          <w:p>
            <w:pPr>
              <w:pStyle w:val="0"/>
              <w:jc w:val="center"/>
            </w:pPr>
            <w:r>
              <w:rPr>
                <w:sz w:val="20"/>
              </w:rPr>
              <w:t xml:space="preserve">от 1501 до 2000</w:t>
            </w:r>
          </w:p>
        </w:tc>
      </w:tr>
      <w:tr>
        <w:tc>
          <w:tcPr>
            <w:tcW w:w="2891" w:type="dxa"/>
            <w:tcBorders>
              <w:top w:val="nil"/>
              <w:left w:val="nil"/>
              <w:bottom w:val="nil"/>
              <w:right w:val="nil"/>
            </w:tcBorders>
          </w:tcPr>
          <w:p>
            <w:pPr>
              <w:pStyle w:val="0"/>
              <w:jc w:val="center"/>
            </w:pPr>
            <w:r>
              <w:rPr>
                <w:sz w:val="20"/>
              </w:rPr>
              <w:t xml:space="preserve">III</w:t>
            </w:r>
          </w:p>
        </w:tc>
        <w:tc>
          <w:tcPr>
            <w:tcW w:w="3288" w:type="dxa"/>
            <w:tcBorders>
              <w:top w:val="nil"/>
              <w:left w:val="nil"/>
              <w:bottom w:val="nil"/>
              <w:right w:val="nil"/>
            </w:tcBorders>
          </w:tcPr>
          <w:p>
            <w:pPr>
              <w:pStyle w:val="0"/>
              <w:jc w:val="center"/>
            </w:pPr>
            <w:r>
              <w:rPr>
                <w:sz w:val="20"/>
              </w:rPr>
              <w:t xml:space="preserve">от 1001 до 1500</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от 501 до 1000</w:t>
            </w:r>
          </w:p>
        </w:tc>
      </w:tr>
      <w:tr>
        <w:tc>
          <w:tcPr>
            <w:tcW w:w="2891" w:type="dxa"/>
            <w:tcBorders>
              <w:top w:val="nil"/>
              <w:left w:val="nil"/>
              <w:bottom w:val="nil"/>
              <w:right w:val="nil"/>
            </w:tcBorders>
          </w:tcPr>
          <w:p>
            <w:pPr>
              <w:pStyle w:val="0"/>
              <w:jc w:val="center"/>
            </w:pPr>
            <w:r>
              <w:rPr>
                <w:sz w:val="20"/>
              </w:rPr>
              <w:t xml:space="preserve">V</w:t>
            </w:r>
          </w:p>
        </w:tc>
        <w:tc>
          <w:tcPr>
            <w:tcW w:w="3288" w:type="dxa"/>
            <w:tcBorders>
              <w:top w:val="nil"/>
              <w:left w:val="nil"/>
              <w:bottom w:val="nil"/>
              <w:right w:val="nil"/>
            </w:tcBorders>
          </w:tcPr>
          <w:p>
            <w:pPr>
              <w:pStyle w:val="0"/>
              <w:jc w:val="center"/>
            </w:pPr>
            <w:r>
              <w:rPr>
                <w:sz w:val="20"/>
              </w:rPr>
              <w:t xml:space="preserve">от 50 до 500</w:t>
            </w:r>
          </w:p>
        </w:tc>
      </w:tr>
    </w:tbl>
    <w:p>
      <w:pPr>
        <w:pStyle w:val="0"/>
        <w:jc w:val="both"/>
      </w:pPr>
      <w:r>
        <w:rPr>
          <w:sz w:val="20"/>
        </w:rPr>
      </w:r>
    </w:p>
    <w:p>
      <w:pPr>
        <w:pStyle w:val="2"/>
        <w:outlineLvl w:val="2"/>
        <w:jc w:val="center"/>
      </w:pPr>
      <w:r>
        <w:rPr>
          <w:sz w:val="20"/>
        </w:rPr>
        <w:t xml:space="preserve">3. Учреждения, оказывающие медицинскую помощь</w:t>
      </w:r>
    </w:p>
    <w:p>
      <w:pPr>
        <w:pStyle w:val="2"/>
        <w:jc w:val="center"/>
      </w:pPr>
      <w:r>
        <w:rPr>
          <w:sz w:val="20"/>
        </w:rPr>
        <w:t xml:space="preserve">с использованием репродуктивных технологий</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Число сметных коек </w:t>
            </w:r>
            <w:hyperlink w:history="0" w:anchor="P1002" w:tooltip="&lt;2&gt; При определении величины показателя &quot;Число сметных коек&quot; учитывается среднегодовое плановое число коек стационара, а также среднегодовое плановое число коек в дневных стационарах.">
              <w:r>
                <w:rPr>
                  <w:sz w:val="20"/>
                  <w:color w:val="0000ff"/>
                </w:rPr>
                <w:t xml:space="preserve">&lt;2&gt;</w:t>
              </w:r>
            </w:hyperlink>
          </w:p>
        </w:tc>
      </w:tr>
      <w:tr>
        <w:tc>
          <w:tcPr>
            <w:tcW w:w="2891" w:type="dxa"/>
            <w:tcBorders>
              <w:top w:val="single" w:sz="4"/>
              <w:left w:val="nil"/>
              <w:bottom w:val="nil"/>
              <w:right w:val="nil"/>
            </w:tcBorders>
          </w:tcPr>
          <w:p>
            <w:pPr>
              <w:pStyle w:val="0"/>
              <w:jc w:val="center"/>
            </w:pPr>
            <w:r>
              <w:rPr>
                <w:sz w:val="20"/>
              </w:rPr>
              <w:t xml:space="preserve">II</w:t>
            </w:r>
          </w:p>
        </w:tc>
        <w:tc>
          <w:tcPr>
            <w:tcW w:w="3288" w:type="dxa"/>
            <w:tcBorders>
              <w:top w:val="single" w:sz="4"/>
              <w:left w:val="nil"/>
              <w:bottom w:val="nil"/>
              <w:right w:val="nil"/>
            </w:tcBorders>
          </w:tcPr>
          <w:p>
            <w:pPr>
              <w:pStyle w:val="0"/>
              <w:jc w:val="center"/>
            </w:pPr>
            <w:r>
              <w:rPr>
                <w:sz w:val="20"/>
              </w:rPr>
              <w:t xml:space="preserve">251 и более</w:t>
            </w:r>
          </w:p>
        </w:tc>
      </w:tr>
      <w:tr>
        <w:tc>
          <w:tcPr>
            <w:tcW w:w="2891" w:type="dxa"/>
            <w:tcBorders>
              <w:top w:val="nil"/>
              <w:left w:val="nil"/>
              <w:bottom w:val="nil"/>
              <w:right w:val="nil"/>
            </w:tcBorders>
          </w:tcPr>
          <w:p>
            <w:pPr>
              <w:pStyle w:val="0"/>
              <w:jc w:val="center"/>
            </w:pPr>
            <w:r>
              <w:rPr>
                <w:sz w:val="20"/>
              </w:rPr>
              <w:t xml:space="preserve">III</w:t>
            </w:r>
          </w:p>
        </w:tc>
        <w:tc>
          <w:tcPr>
            <w:tcW w:w="3288" w:type="dxa"/>
            <w:tcBorders>
              <w:top w:val="nil"/>
              <w:left w:val="nil"/>
              <w:bottom w:val="nil"/>
              <w:right w:val="nil"/>
            </w:tcBorders>
          </w:tcPr>
          <w:p>
            <w:pPr>
              <w:pStyle w:val="0"/>
              <w:jc w:val="center"/>
            </w:pPr>
            <w:r>
              <w:rPr>
                <w:sz w:val="20"/>
              </w:rPr>
              <w:t xml:space="preserve">от 101 до 250</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до 100</w:t>
            </w:r>
          </w:p>
        </w:tc>
      </w:tr>
    </w:tbl>
    <w:p>
      <w:pPr>
        <w:pStyle w:val="0"/>
        <w:jc w:val="both"/>
      </w:pPr>
      <w:r>
        <w:rPr>
          <w:sz w:val="20"/>
        </w:rPr>
        <w:t xml:space="preserve">(в ред. </w:t>
      </w:r>
      <w:hyperlink w:history="0" r:id="rId129"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jc w:val="both"/>
      </w:pPr>
      <w:r>
        <w:rPr>
          <w:sz w:val="20"/>
        </w:rPr>
      </w:r>
    </w:p>
    <w:bookmarkStart w:id="906" w:name="P906"/>
    <w:bookmarkEnd w:id="906"/>
    <w:p>
      <w:pPr>
        <w:pStyle w:val="2"/>
        <w:outlineLvl w:val="2"/>
        <w:jc w:val="center"/>
      </w:pPr>
      <w:r>
        <w:rPr>
          <w:sz w:val="20"/>
        </w:rPr>
        <w:t xml:space="preserve">4. Поликлиники и другие учреждения, не имеющие коечного</w:t>
      </w:r>
    </w:p>
    <w:p>
      <w:pPr>
        <w:pStyle w:val="2"/>
        <w:jc w:val="center"/>
      </w:pPr>
      <w:r>
        <w:rPr>
          <w:sz w:val="20"/>
        </w:rPr>
        <w:t xml:space="preserve">фонда круглосуточного пребывания (кроме учреждений,</w:t>
      </w:r>
    </w:p>
    <w:p>
      <w:pPr>
        <w:pStyle w:val="2"/>
        <w:jc w:val="center"/>
      </w:pPr>
      <w:r>
        <w:rPr>
          <w:sz w:val="20"/>
        </w:rPr>
        <w:t xml:space="preserve">предусмотренных разделами 5 - 8)</w:t>
      </w:r>
    </w:p>
    <w:p>
      <w:pPr>
        <w:pStyle w:val="0"/>
        <w:jc w:val="center"/>
      </w:pPr>
      <w:r>
        <w:rPr>
          <w:sz w:val="20"/>
        </w:rPr>
        <w:t xml:space="preserve">(в ред. </w:t>
      </w:r>
      <w:hyperlink w:history="0" r:id="rId130"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22.05.2019 N 333)</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Число врачебных должностей </w:t>
            </w:r>
            <w:hyperlink w:history="0" w:anchor="P1003" w:tooltip="&lt;3&gt; При определении величины показателя &quot;Число врачебных должностей&quot; учитываются должности самих руководителей, их заместителей - врачей, врачей - руководителей структурных подразделений, врачей (включая врачебные должности, которые содержатся за счет внебюджетных средств), зубных врачей, медицинских психологов.">
              <w:r>
                <w:rPr>
                  <w:sz w:val="20"/>
                  <w:color w:val="0000ff"/>
                </w:rPr>
                <w:t xml:space="preserve">&lt;3&gt;</w:t>
              </w:r>
            </w:hyperlink>
          </w:p>
        </w:tc>
      </w:tr>
      <w:tr>
        <w:tc>
          <w:tcPr>
            <w:tcW w:w="2891" w:type="dxa"/>
            <w:tcBorders>
              <w:top w:val="single" w:sz="4"/>
              <w:left w:val="nil"/>
              <w:bottom w:val="nil"/>
              <w:right w:val="nil"/>
            </w:tcBorders>
          </w:tcPr>
          <w:p>
            <w:pPr>
              <w:pStyle w:val="0"/>
              <w:jc w:val="center"/>
            </w:pPr>
            <w:r>
              <w:rPr>
                <w:sz w:val="20"/>
              </w:rPr>
              <w:t xml:space="preserve">I</w:t>
            </w:r>
          </w:p>
        </w:tc>
        <w:tc>
          <w:tcPr>
            <w:tcW w:w="3288" w:type="dxa"/>
            <w:tcBorders>
              <w:top w:val="single" w:sz="4"/>
              <w:left w:val="nil"/>
              <w:bottom w:val="nil"/>
              <w:right w:val="nil"/>
            </w:tcBorders>
          </w:tcPr>
          <w:p>
            <w:pPr>
              <w:pStyle w:val="0"/>
              <w:jc w:val="center"/>
            </w:pPr>
            <w:r>
              <w:rPr>
                <w:sz w:val="20"/>
              </w:rPr>
              <w:t xml:space="preserve">301 и более</w:t>
            </w:r>
          </w:p>
        </w:tc>
      </w:tr>
      <w:tr>
        <w:tc>
          <w:tcPr>
            <w:tcW w:w="2891" w:type="dxa"/>
            <w:tcBorders>
              <w:top w:val="nil"/>
              <w:left w:val="nil"/>
              <w:bottom w:val="nil"/>
              <w:right w:val="nil"/>
            </w:tcBorders>
          </w:tcPr>
          <w:p>
            <w:pPr>
              <w:pStyle w:val="0"/>
              <w:jc w:val="center"/>
            </w:pPr>
            <w:r>
              <w:rPr>
                <w:sz w:val="20"/>
              </w:rPr>
              <w:t xml:space="preserve">II</w:t>
            </w:r>
          </w:p>
        </w:tc>
        <w:tc>
          <w:tcPr>
            <w:tcW w:w="3288" w:type="dxa"/>
            <w:tcBorders>
              <w:top w:val="nil"/>
              <w:left w:val="nil"/>
              <w:bottom w:val="nil"/>
              <w:right w:val="nil"/>
            </w:tcBorders>
          </w:tcPr>
          <w:p>
            <w:pPr>
              <w:pStyle w:val="0"/>
              <w:jc w:val="center"/>
            </w:pPr>
            <w:r>
              <w:rPr>
                <w:sz w:val="20"/>
              </w:rPr>
              <w:t xml:space="preserve">от 221 до 300</w:t>
            </w:r>
          </w:p>
        </w:tc>
      </w:tr>
      <w:tr>
        <w:tc>
          <w:tcPr>
            <w:tcW w:w="2891" w:type="dxa"/>
            <w:tcBorders>
              <w:top w:val="nil"/>
              <w:left w:val="nil"/>
              <w:bottom w:val="nil"/>
              <w:right w:val="nil"/>
            </w:tcBorders>
          </w:tcPr>
          <w:p>
            <w:pPr>
              <w:pStyle w:val="0"/>
              <w:jc w:val="center"/>
            </w:pPr>
            <w:r>
              <w:rPr>
                <w:sz w:val="20"/>
              </w:rPr>
              <w:t xml:space="preserve">III</w:t>
            </w:r>
          </w:p>
        </w:tc>
        <w:tc>
          <w:tcPr>
            <w:tcW w:w="3288" w:type="dxa"/>
            <w:tcBorders>
              <w:top w:val="nil"/>
              <w:left w:val="nil"/>
              <w:bottom w:val="nil"/>
              <w:right w:val="nil"/>
            </w:tcBorders>
          </w:tcPr>
          <w:p>
            <w:pPr>
              <w:pStyle w:val="0"/>
              <w:jc w:val="center"/>
            </w:pPr>
            <w:r>
              <w:rPr>
                <w:sz w:val="20"/>
              </w:rPr>
              <w:t xml:space="preserve">от 151 до 220</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от 66 до 150</w:t>
            </w:r>
          </w:p>
        </w:tc>
      </w:tr>
      <w:tr>
        <w:tc>
          <w:tcPr>
            <w:tcW w:w="2891" w:type="dxa"/>
            <w:tcBorders>
              <w:top w:val="nil"/>
              <w:left w:val="nil"/>
              <w:bottom w:val="nil"/>
              <w:right w:val="nil"/>
            </w:tcBorders>
          </w:tcPr>
          <w:p>
            <w:pPr>
              <w:pStyle w:val="0"/>
              <w:jc w:val="center"/>
            </w:pPr>
            <w:r>
              <w:rPr>
                <w:sz w:val="20"/>
              </w:rPr>
              <w:t xml:space="preserve">V</w:t>
            </w:r>
          </w:p>
        </w:tc>
        <w:tc>
          <w:tcPr>
            <w:tcW w:w="3288" w:type="dxa"/>
            <w:tcBorders>
              <w:top w:val="nil"/>
              <w:left w:val="nil"/>
              <w:bottom w:val="nil"/>
              <w:right w:val="nil"/>
            </w:tcBorders>
          </w:tcPr>
          <w:p>
            <w:pPr>
              <w:pStyle w:val="0"/>
              <w:jc w:val="center"/>
            </w:pPr>
            <w:r>
              <w:rPr>
                <w:sz w:val="20"/>
              </w:rPr>
              <w:t xml:space="preserve">от 8 до 65</w:t>
            </w:r>
          </w:p>
        </w:tc>
      </w:tr>
    </w:tbl>
    <w:p>
      <w:pPr>
        <w:pStyle w:val="0"/>
        <w:jc w:val="both"/>
      </w:pPr>
      <w:r>
        <w:rPr>
          <w:sz w:val="20"/>
        </w:rPr>
      </w:r>
    </w:p>
    <w:p>
      <w:pPr>
        <w:pStyle w:val="2"/>
        <w:outlineLvl w:val="2"/>
        <w:jc w:val="center"/>
      </w:pPr>
      <w:r>
        <w:rPr>
          <w:sz w:val="20"/>
        </w:rPr>
        <w:t xml:space="preserve">5. Станции переливания крови </w:t>
      </w:r>
      <w:hyperlink w:history="0" w:anchor="P1014" w:tooltip="&lt;4&gt; Станции переливания крови, только заготавливающие кровь в объеме не менее 2 тысяч литров в год, относятся к V группе по оплате труда руководителей учреждений.">
        <w:r>
          <w:rPr>
            <w:sz w:val="20"/>
            <w:color w:val="0000ff"/>
          </w:rPr>
          <w:t xml:space="preserve">&lt;4&gt;</w:t>
        </w:r>
      </w:hyperlink>
    </w:p>
    <w:p>
      <w:pPr>
        <w:pStyle w:val="0"/>
        <w:jc w:val="center"/>
      </w:pPr>
      <w:r>
        <w:rPr>
          <w:sz w:val="20"/>
        </w:rPr>
        <w:t xml:space="preserve">(в ред. </w:t>
      </w:r>
      <w:hyperlink w:history="0" r:id="rId131"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22.05.2019 N 333)</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Количество заготовленной плазмы, тысяч литров в год</w:t>
            </w:r>
          </w:p>
        </w:tc>
      </w:tr>
      <w:tr>
        <w:tc>
          <w:tcPr>
            <w:gridSpan w:val="2"/>
            <w:tcW w:w="6179" w:type="dxa"/>
            <w:tcBorders>
              <w:top w:val="single" w:sz="4"/>
              <w:left w:val="nil"/>
              <w:bottom w:val="nil"/>
              <w:right w:val="nil"/>
            </w:tcBorders>
          </w:tcPr>
          <w:bookmarkStart w:id="931" w:name="P931"/>
          <w:bookmarkEnd w:id="931"/>
          <w:p>
            <w:pPr>
              <w:pStyle w:val="0"/>
              <w:outlineLvl w:val="3"/>
              <w:jc w:val="center"/>
            </w:pPr>
            <w:r>
              <w:rPr>
                <w:sz w:val="20"/>
              </w:rPr>
              <w:t xml:space="preserve">Заготавливающие плазму методом плазмафереза</w:t>
            </w:r>
          </w:p>
        </w:tc>
      </w:tr>
      <w:tr>
        <w:tc>
          <w:tcPr>
            <w:tcW w:w="2891" w:type="dxa"/>
            <w:tcBorders>
              <w:top w:val="nil"/>
              <w:left w:val="nil"/>
              <w:bottom w:val="nil"/>
              <w:right w:val="nil"/>
            </w:tcBorders>
          </w:tcPr>
          <w:p>
            <w:pPr>
              <w:pStyle w:val="0"/>
              <w:jc w:val="center"/>
            </w:pPr>
            <w:r>
              <w:rPr>
                <w:sz w:val="20"/>
              </w:rPr>
              <w:t xml:space="preserve">I</w:t>
            </w:r>
          </w:p>
        </w:tc>
        <w:tc>
          <w:tcPr>
            <w:tcW w:w="3288" w:type="dxa"/>
            <w:tcBorders>
              <w:top w:val="nil"/>
              <w:left w:val="nil"/>
              <w:bottom w:val="nil"/>
              <w:right w:val="nil"/>
            </w:tcBorders>
          </w:tcPr>
          <w:p>
            <w:pPr>
              <w:pStyle w:val="0"/>
              <w:jc w:val="center"/>
            </w:pPr>
            <w:r>
              <w:rPr>
                <w:sz w:val="20"/>
              </w:rPr>
              <w:t xml:space="preserve">11 и более</w:t>
            </w:r>
          </w:p>
        </w:tc>
      </w:tr>
      <w:tr>
        <w:tc>
          <w:tcPr>
            <w:tcW w:w="2891" w:type="dxa"/>
            <w:tcBorders>
              <w:top w:val="nil"/>
              <w:left w:val="nil"/>
              <w:bottom w:val="nil"/>
              <w:right w:val="nil"/>
            </w:tcBorders>
          </w:tcPr>
          <w:p>
            <w:pPr>
              <w:pStyle w:val="0"/>
              <w:jc w:val="center"/>
            </w:pPr>
            <w:r>
              <w:rPr>
                <w:sz w:val="20"/>
              </w:rPr>
              <w:t xml:space="preserve">II</w:t>
            </w:r>
          </w:p>
        </w:tc>
        <w:tc>
          <w:tcPr>
            <w:tcW w:w="3288" w:type="dxa"/>
            <w:tcBorders>
              <w:top w:val="nil"/>
              <w:left w:val="nil"/>
              <w:bottom w:val="nil"/>
              <w:right w:val="nil"/>
            </w:tcBorders>
          </w:tcPr>
          <w:p>
            <w:pPr>
              <w:pStyle w:val="0"/>
              <w:jc w:val="center"/>
            </w:pPr>
            <w:r>
              <w:rPr>
                <w:sz w:val="20"/>
              </w:rPr>
              <w:t xml:space="preserve">от 6 до 11</w:t>
            </w:r>
          </w:p>
        </w:tc>
      </w:tr>
      <w:tr>
        <w:tc>
          <w:tcPr>
            <w:tcW w:w="2891" w:type="dxa"/>
            <w:tcBorders>
              <w:top w:val="nil"/>
              <w:left w:val="nil"/>
              <w:bottom w:val="nil"/>
              <w:right w:val="nil"/>
            </w:tcBorders>
          </w:tcPr>
          <w:p>
            <w:pPr>
              <w:pStyle w:val="0"/>
              <w:jc w:val="center"/>
            </w:pPr>
            <w:r>
              <w:rPr>
                <w:sz w:val="20"/>
              </w:rPr>
              <w:t xml:space="preserve">III</w:t>
            </w:r>
          </w:p>
        </w:tc>
        <w:tc>
          <w:tcPr>
            <w:tcW w:w="3288" w:type="dxa"/>
            <w:tcBorders>
              <w:top w:val="nil"/>
              <w:left w:val="nil"/>
              <w:bottom w:val="nil"/>
              <w:right w:val="nil"/>
            </w:tcBorders>
          </w:tcPr>
          <w:p>
            <w:pPr>
              <w:pStyle w:val="0"/>
              <w:jc w:val="center"/>
            </w:pPr>
            <w:r>
              <w:rPr>
                <w:sz w:val="20"/>
              </w:rPr>
              <w:t xml:space="preserve">от 2 до 6</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от 0,5 до 2</w:t>
            </w:r>
          </w:p>
        </w:tc>
      </w:tr>
    </w:tbl>
    <w:p>
      <w:pPr>
        <w:pStyle w:val="0"/>
        <w:jc w:val="both"/>
      </w:pPr>
      <w:r>
        <w:rPr>
          <w:sz w:val="20"/>
        </w:rPr>
        <w:t xml:space="preserve">(в ред. </w:t>
      </w:r>
      <w:hyperlink w:history="0" r:id="rId132"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Количество заготовленной плазмы, тысяч литров в год</w:t>
            </w:r>
          </w:p>
        </w:tc>
      </w:tr>
      <w:tr>
        <w:tc>
          <w:tcPr>
            <w:gridSpan w:val="2"/>
            <w:tcW w:w="6179" w:type="dxa"/>
            <w:tcBorders>
              <w:top w:val="single" w:sz="4"/>
              <w:left w:val="nil"/>
              <w:bottom w:val="nil"/>
              <w:right w:val="nil"/>
            </w:tcBorders>
          </w:tcPr>
          <w:bookmarkStart w:id="944" w:name="P944"/>
          <w:bookmarkEnd w:id="944"/>
          <w:p>
            <w:pPr>
              <w:pStyle w:val="0"/>
              <w:outlineLvl w:val="3"/>
              <w:jc w:val="center"/>
            </w:pPr>
            <w:r>
              <w:rPr>
                <w:sz w:val="20"/>
              </w:rPr>
              <w:t xml:space="preserve">Перерабатывающие плазму фракционированием</w:t>
            </w:r>
          </w:p>
        </w:tc>
      </w:tr>
      <w:tr>
        <w:tc>
          <w:tcPr>
            <w:tcW w:w="2891" w:type="dxa"/>
            <w:tcBorders>
              <w:top w:val="nil"/>
              <w:left w:val="nil"/>
              <w:bottom w:val="nil"/>
              <w:right w:val="nil"/>
            </w:tcBorders>
          </w:tcPr>
          <w:p>
            <w:pPr>
              <w:pStyle w:val="0"/>
              <w:jc w:val="center"/>
            </w:pPr>
            <w:r>
              <w:rPr>
                <w:sz w:val="20"/>
              </w:rPr>
              <w:t xml:space="preserve">I</w:t>
            </w:r>
          </w:p>
        </w:tc>
        <w:tc>
          <w:tcPr>
            <w:tcW w:w="3288" w:type="dxa"/>
            <w:tcBorders>
              <w:top w:val="nil"/>
              <w:left w:val="nil"/>
              <w:bottom w:val="nil"/>
              <w:right w:val="nil"/>
            </w:tcBorders>
          </w:tcPr>
          <w:p>
            <w:pPr>
              <w:pStyle w:val="0"/>
              <w:jc w:val="center"/>
            </w:pPr>
            <w:r>
              <w:rPr>
                <w:sz w:val="20"/>
              </w:rPr>
              <w:t xml:space="preserve">40 и более</w:t>
            </w:r>
          </w:p>
        </w:tc>
      </w:tr>
      <w:tr>
        <w:tc>
          <w:tcPr>
            <w:tcW w:w="2891" w:type="dxa"/>
            <w:tcBorders>
              <w:top w:val="nil"/>
              <w:left w:val="nil"/>
              <w:bottom w:val="nil"/>
              <w:right w:val="nil"/>
            </w:tcBorders>
          </w:tcPr>
          <w:p>
            <w:pPr>
              <w:pStyle w:val="0"/>
              <w:jc w:val="center"/>
            </w:pPr>
            <w:r>
              <w:rPr>
                <w:sz w:val="20"/>
              </w:rPr>
              <w:t xml:space="preserve">II</w:t>
            </w:r>
          </w:p>
        </w:tc>
        <w:tc>
          <w:tcPr>
            <w:tcW w:w="3288" w:type="dxa"/>
            <w:tcBorders>
              <w:top w:val="nil"/>
              <w:left w:val="nil"/>
              <w:bottom w:val="nil"/>
              <w:right w:val="nil"/>
            </w:tcBorders>
          </w:tcPr>
          <w:p>
            <w:pPr>
              <w:pStyle w:val="0"/>
              <w:jc w:val="center"/>
            </w:pPr>
            <w:r>
              <w:rPr>
                <w:sz w:val="20"/>
              </w:rPr>
              <w:t xml:space="preserve">от 22 до 40</w:t>
            </w:r>
          </w:p>
        </w:tc>
      </w:tr>
      <w:tr>
        <w:tc>
          <w:tcPr>
            <w:tcW w:w="2891" w:type="dxa"/>
            <w:tcBorders>
              <w:top w:val="nil"/>
              <w:left w:val="nil"/>
              <w:bottom w:val="nil"/>
              <w:right w:val="nil"/>
            </w:tcBorders>
          </w:tcPr>
          <w:p>
            <w:pPr>
              <w:pStyle w:val="0"/>
              <w:jc w:val="center"/>
            </w:pPr>
            <w:r>
              <w:rPr>
                <w:sz w:val="20"/>
              </w:rPr>
              <w:t xml:space="preserve">III</w:t>
            </w:r>
          </w:p>
        </w:tc>
        <w:tc>
          <w:tcPr>
            <w:tcW w:w="3288" w:type="dxa"/>
            <w:tcBorders>
              <w:top w:val="nil"/>
              <w:left w:val="nil"/>
              <w:bottom w:val="nil"/>
              <w:right w:val="nil"/>
            </w:tcBorders>
          </w:tcPr>
          <w:p>
            <w:pPr>
              <w:pStyle w:val="0"/>
              <w:jc w:val="center"/>
            </w:pPr>
            <w:r>
              <w:rPr>
                <w:sz w:val="20"/>
              </w:rPr>
              <w:t xml:space="preserve">от 12 до 22</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от 5 до 12</w:t>
            </w:r>
          </w:p>
        </w:tc>
      </w:tr>
    </w:tbl>
    <w:p>
      <w:pPr>
        <w:pStyle w:val="0"/>
        <w:jc w:val="both"/>
      </w:pPr>
      <w:r>
        <w:rPr>
          <w:sz w:val="20"/>
        </w:rPr>
        <w:t xml:space="preserve">(в ред. </w:t>
      </w:r>
      <w:hyperlink w:history="0" r:id="rId133"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jc w:val="both"/>
      </w:pPr>
      <w:r>
        <w:rPr>
          <w:sz w:val="20"/>
        </w:rPr>
      </w:r>
    </w:p>
    <w:p>
      <w:pPr>
        <w:pStyle w:val="2"/>
        <w:outlineLvl w:val="2"/>
        <w:jc w:val="center"/>
      </w:pPr>
      <w:r>
        <w:rPr>
          <w:sz w:val="20"/>
        </w:rPr>
        <w:t xml:space="preserve">6. Центр контроля качества лекарственных средств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Количество расчетных анализов, тысяч в год</w:t>
            </w:r>
          </w:p>
        </w:tc>
      </w:tr>
      <w:tr>
        <w:tc>
          <w:tcPr>
            <w:tcW w:w="2891" w:type="dxa"/>
            <w:tcBorders>
              <w:top w:val="single" w:sz="4"/>
              <w:left w:val="nil"/>
              <w:bottom w:val="nil"/>
              <w:right w:val="nil"/>
            </w:tcBorders>
          </w:tcPr>
          <w:p>
            <w:pPr>
              <w:pStyle w:val="0"/>
              <w:jc w:val="center"/>
            </w:pPr>
            <w:r>
              <w:rPr>
                <w:sz w:val="20"/>
              </w:rPr>
              <w:t xml:space="preserve">I</w:t>
            </w:r>
          </w:p>
        </w:tc>
        <w:tc>
          <w:tcPr>
            <w:tcW w:w="3288" w:type="dxa"/>
            <w:tcBorders>
              <w:top w:val="single" w:sz="4"/>
              <w:left w:val="nil"/>
              <w:bottom w:val="nil"/>
              <w:right w:val="nil"/>
            </w:tcBorders>
          </w:tcPr>
          <w:p>
            <w:pPr>
              <w:pStyle w:val="0"/>
              <w:jc w:val="center"/>
            </w:pPr>
            <w:r>
              <w:rPr>
                <w:sz w:val="20"/>
              </w:rPr>
              <w:t xml:space="preserve">15 и более</w:t>
            </w:r>
          </w:p>
        </w:tc>
      </w:tr>
      <w:tr>
        <w:tc>
          <w:tcPr>
            <w:tcW w:w="2891" w:type="dxa"/>
            <w:tcBorders>
              <w:top w:val="nil"/>
              <w:left w:val="nil"/>
              <w:bottom w:val="nil"/>
              <w:right w:val="nil"/>
            </w:tcBorders>
          </w:tcPr>
          <w:p>
            <w:pPr>
              <w:pStyle w:val="0"/>
              <w:jc w:val="center"/>
            </w:pPr>
            <w:r>
              <w:rPr>
                <w:sz w:val="20"/>
              </w:rPr>
              <w:t xml:space="preserve">II</w:t>
            </w:r>
          </w:p>
        </w:tc>
        <w:tc>
          <w:tcPr>
            <w:tcW w:w="3288" w:type="dxa"/>
            <w:tcBorders>
              <w:top w:val="nil"/>
              <w:left w:val="nil"/>
              <w:bottom w:val="nil"/>
              <w:right w:val="nil"/>
            </w:tcBorders>
          </w:tcPr>
          <w:p>
            <w:pPr>
              <w:pStyle w:val="0"/>
              <w:jc w:val="center"/>
            </w:pPr>
            <w:r>
              <w:rPr>
                <w:sz w:val="20"/>
              </w:rPr>
              <w:t xml:space="preserve">от 10 до 15</w:t>
            </w:r>
          </w:p>
        </w:tc>
      </w:tr>
      <w:tr>
        <w:tc>
          <w:tcPr>
            <w:tcW w:w="2891" w:type="dxa"/>
            <w:tcBorders>
              <w:top w:val="nil"/>
              <w:left w:val="nil"/>
              <w:bottom w:val="nil"/>
              <w:right w:val="nil"/>
            </w:tcBorders>
          </w:tcPr>
          <w:p>
            <w:pPr>
              <w:pStyle w:val="0"/>
              <w:jc w:val="center"/>
            </w:pPr>
            <w:r>
              <w:rPr>
                <w:sz w:val="20"/>
              </w:rPr>
              <w:t xml:space="preserve">III</w:t>
            </w:r>
          </w:p>
        </w:tc>
        <w:tc>
          <w:tcPr>
            <w:tcW w:w="3288" w:type="dxa"/>
            <w:tcBorders>
              <w:top w:val="nil"/>
              <w:left w:val="nil"/>
              <w:bottom w:val="nil"/>
              <w:right w:val="nil"/>
            </w:tcBorders>
          </w:tcPr>
          <w:p>
            <w:pPr>
              <w:pStyle w:val="0"/>
              <w:jc w:val="center"/>
            </w:pPr>
            <w:r>
              <w:rPr>
                <w:sz w:val="20"/>
              </w:rPr>
              <w:t xml:space="preserve">от 5 до 10</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от 3 до 5</w:t>
            </w:r>
          </w:p>
        </w:tc>
      </w:tr>
      <w:tr>
        <w:tc>
          <w:tcPr>
            <w:tcW w:w="2891" w:type="dxa"/>
            <w:tcBorders>
              <w:top w:val="nil"/>
              <w:left w:val="nil"/>
              <w:bottom w:val="nil"/>
              <w:right w:val="nil"/>
            </w:tcBorders>
          </w:tcPr>
          <w:p>
            <w:pPr>
              <w:pStyle w:val="0"/>
              <w:jc w:val="center"/>
            </w:pPr>
            <w:r>
              <w:rPr>
                <w:sz w:val="20"/>
              </w:rPr>
              <w:t xml:space="preserve">V</w:t>
            </w:r>
          </w:p>
        </w:tc>
        <w:tc>
          <w:tcPr>
            <w:tcW w:w="3288" w:type="dxa"/>
            <w:tcBorders>
              <w:top w:val="nil"/>
              <w:left w:val="nil"/>
              <w:bottom w:val="nil"/>
              <w:right w:val="nil"/>
            </w:tcBorders>
          </w:tcPr>
          <w:p>
            <w:pPr>
              <w:pStyle w:val="0"/>
              <w:jc w:val="center"/>
            </w:pPr>
            <w:r>
              <w:rPr>
                <w:sz w:val="20"/>
              </w:rPr>
              <w:t xml:space="preserve">до 3</w:t>
            </w:r>
          </w:p>
        </w:tc>
      </w:tr>
    </w:tbl>
    <w:p>
      <w:pPr>
        <w:pStyle w:val="0"/>
        <w:jc w:val="both"/>
      </w:pPr>
      <w:r>
        <w:rPr>
          <w:sz w:val="20"/>
        </w:rPr>
      </w:r>
    </w:p>
    <w:p>
      <w:pPr>
        <w:pStyle w:val="2"/>
        <w:outlineLvl w:val="2"/>
        <w:jc w:val="center"/>
      </w:pPr>
      <w:r>
        <w:rPr>
          <w:sz w:val="20"/>
        </w:rPr>
        <w:t xml:space="preserve">7. Дезинфекционные станции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3288"/>
      </w:tblGrid>
      <w:tr>
        <w:tblPrEx>
          <w:tblBorders>
            <w:left w:val="single" w:sz="4"/>
            <w:right w:val="single" w:sz="4"/>
            <w:insideV w:val="single" w:sz="4"/>
            <w:insideH w:val="single" w:sz="4"/>
          </w:tblBorders>
        </w:tblPrEx>
        <w:tc>
          <w:tcPr>
            <w:tcW w:w="2891" w:type="dxa"/>
            <w:tcBorders>
              <w:top w:val="single" w:sz="4"/>
              <w:bottom w:val="single" w:sz="4"/>
            </w:tcBorders>
          </w:tcPr>
          <w:p>
            <w:pPr>
              <w:pStyle w:val="0"/>
              <w:jc w:val="center"/>
            </w:pPr>
            <w:r>
              <w:rPr>
                <w:sz w:val="20"/>
              </w:rPr>
              <w:t xml:space="preserve">Группа по оплате труда руководителей</w:t>
            </w:r>
          </w:p>
        </w:tc>
        <w:tc>
          <w:tcPr>
            <w:tcW w:w="3288" w:type="dxa"/>
            <w:tcBorders>
              <w:top w:val="single" w:sz="4"/>
              <w:bottom w:val="single" w:sz="4"/>
            </w:tcBorders>
          </w:tcPr>
          <w:p>
            <w:pPr>
              <w:pStyle w:val="0"/>
              <w:jc w:val="center"/>
            </w:pPr>
            <w:r>
              <w:rPr>
                <w:sz w:val="20"/>
              </w:rPr>
              <w:t xml:space="preserve">Численность обслуживаемого населения</w:t>
            </w:r>
          </w:p>
        </w:tc>
      </w:tr>
      <w:tr>
        <w:tc>
          <w:tcPr>
            <w:tcW w:w="2891" w:type="dxa"/>
            <w:tcBorders>
              <w:top w:val="single" w:sz="4"/>
              <w:left w:val="nil"/>
              <w:bottom w:val="nil"/>
              <w:right w:val="nil"/>
            </w:tcBorders>
          </w:tcPr>
          <w:p>
            <w:pPr>
              <w:pStyle w:val="0"/>
              <w:jc w:val="center"/>
            </w:pPr>
            <w:r>
              <w:rPr>
                <w:sz w:val="20"/>
              </w:rPr>
              <w:t xml:space="preserve">III</w:t>
            </w:r>
          </w:p>
        </w:tc>
        <w:tc>
          <w:tcPr>
            <w:tcW w:w="3288" w:type="dxa"/>
            <w:tcBorders>
              <w:top w:val="single" w:sz="4"/>
              <w:left w:val="nil"/>
              <w:bottom w:val="nil"/>
              <w:right w:val="nil"/>
            </w:tcBorders>
          </w:tcPr>
          <w:p>
            <w:pPr>
              <w:pStyle w:val="0"/>
              <w:jc w:val="center"/>
            </w:pPr>
            <w:r>
              <w:rPr>
                <w:sz w:val="20"/>
              </w:rPr>
              <w:t xml:space="preserve">1 млн. человек и более</w:t>
            </w:r>
          </w:p>
        </w:tc>
      </w:tr>
      <w:tr>
        <w:tc>
          <w:tcPr>
            <w:tcW w:w="2891" w:type="dxa"/>
            <w:tcBorders>
              <w:top w:val="nil"/>
              <w:left w:val="nil"/>
              <w:bottom w:val="nil"/>
              <w:right w:val="nil"/>
            </w:tcBorders>
          </w:tcPr>
          <w:p>
            <w:pPr>
              <w:pStyle w:val="0"/>
              <w:jc w:val="center"/>
            </w:pPr>
            <w:r>
              <w:rPr>
                <w:sz w:val="20"/>
              </w:rPr>
              <w:t xml:space="preserve">IV</w:t>
            </w:r>
          </w:p>
        </w:tc>
        <w:tc>
          <w:tcPr>
            <w:tcW w:w="3288" w:type="dxa"/>
            <w:tcBorders>
              <w:top w:val="nil"/>
              <w:left w:val="nil"/>
              <w:bottom w:val="nil"/>
              <w:right w:val="nil"/>
            </w:tcBorders>
          </w:tcPr>
          <w:p>
            <w:pPr>
              <w:pStyle w:val="0"/>
              <w:jc w:val="center"/>
            </w:pPr>
            <w:r>
              <w:rPr>
                <w:sz w:val="20"/>
              </w:rPr>
              <w:t xml:space="preserve">менее 1 млн. человек</w:t>
            </w:r>
          </w:p>
        </w:tc>
      </w:tr>
    </w:tbl>
    <w:p>
      <w:pPr>
        <w:pStyle w:val="0"/>
        <w:jc w:val="both"/>
      </w:pPr>
      <w:r>
        <w:rPr>
          <w:sz w:val="20"/>
        </w:rPr>
      </w:r>
    </w:p>
    <w:p>
      <w:pPr>
        <w:pStyle w:val="2"/>
        <w:outlineLvl w:val="2"/>
        <w:jc w:val="center"/>
      </w:pPr>
      <w:r>
        <w:rPr>
          <w:sz w:val="20"/>
        </w:rPr>
        <w:t xml:space="preserve">8. Станции скорой медицинской помощи</w:t>
      </w:r>
    </w:p>
    <w:p>
      <w:pPr>
        <w:pStyle w:val="0"/>
        <w:jc w:val="center"/>
      </w:pPr>
      <w:r>
        <w:rPr>
          <w:sz w:val="20"/>
        </w:rPr>
        <w:t xml:space="preserve">(введен </w:t>
      </w:r>
      <w:hyperlink w:history="0" r:id="rId134"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w:t>
      </w:r>
    </w:p>
    <w:p>
      <w:pPr>
        <w:pStyle w:val="0"/>
        <w:jc w:val="center"/>
      </w:pPr>
      <w:r>
        <w:rPr>
          <w:sz w:val="20"/>
        </w:rPr>
        <w:t xml:space="preserve">от 22.05.2019 N 333)</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510"/>
        <w:gridCol w:w="5556"/>
      </w:tblGrid>
      <w:tr>
        <w:tblPrEx>
          <w:tblBorders>
            <w:left w:val="single" w:sz="4"/>
            <w:right w:val="single" w:sz="4"/>
            <w:insideV w:val="single" w:sz="4"/>
            <w:insideH w:val="single" w:sz="4"/>
          </w:tblBorders>
        </w:tblPrEx>
        <w:tc>
          <w:tcPr>
            <w:tcW w:w="3510" w:type="dxa"/>
            <w:tcBorders>
              <w:top w:val="single" w:sz="4"/>
              <w:bottom w:val="single" w:sz="4"/>
            </w:tcBorders>
          </w:tcPr>
          <w:p>
            <w:pPr>
              <w:pStyle w:val="0"/>
              <w:jc w:val="center"/>
            </w:pPr>
            <w:r>
              <w:rPr>
                <w:sz w:val="20"/>
              </w:rPr>
              <w:t xml:space="preserve">Группа по оплате труда руководителей</w:t>
            </w:r>
          </w:p>
        </w:tc>
        <w:tc>
          <w:tcPr>
            <w:tcW w:w="5556" w:type="dxa"/>
            <w:tcBorders>
              <w:top w:val="single" w:sz="4"/>
              <w:bottom w:val="single" w:sz="4"/>
            </w:tcBorders>
          </w:tcPr>
          <w:p>
            <w:pPr>
              <w:pStyle w:val="0"/>
              <w:jc w:val="center"/>
            </w:pPr>
            <w:r>
              <w:rPr>
                <w:sz w:val="20"/>
              </w:rPr>
              <w:t xml:space="preserve">Численность населения населенных пунктов, обслуживаемых учреждением, человек</w:t>
            </w:r>
          </w:p>
        </w:tc>
      </w:tr>
      <w:tr>
        <w:tc>
          <w:tcPr>
            <w:tcW w:w="3510" w:type="dxa"/>
            <w:tcBorders>
              <w:top w:val="single" w:sz="4"/>
              <w:left w:val="nil"/>
              <w:bottom w:val="nil"/>
              <w:right w:val="nil"/>
            </w:tcBorders>
          </w:tcPr>
          <w:p>
            <w:pPr>
              <w:pStyle w:val="0"/>
              <w:jc w:val="center"/>
            </w:pPr>
            <w:r>
              <w:rPr>
                <w:sz w:val="20"/>
              </w:rPr>
              <w:t xml:space="preserve">I</w:t>
            </w:r>
          </w:p>
        </w:tc>
        <w:tc>
          <w:tcPr>
            <w:tcW w:w="5556" w:type="dxa"/>
            <w:tcBorders>
              <w:top w:val="single" w:sz="4"/>
              <w:left w:val="nil"/>
              <w:bottom w:val="nil"/>
              <w:right w:val="nil"/>
            </w:tcBorders>
          </w:tcPr>
          <w:p>
            <w:pPr>
              <w:pStyle w:val="0"/>
              <w:jc w:val="center"/>
            </w:pPr>
            <w:r>
              <w:rPr>
                <w:sz w:val="20"/>
              </w:rPr>
              <w:t xml:space="preserve">свыше 800001</w:t>
            </w:r>
          </w:p>
        </w:tc>
      </w:tr>
      <w:tr>
        <w:tc>
          <w:tcPr>
            <w:tcW w:w="3510" w:type="dxa"/>
            <w:tcBorders>
              <w:top w:val="nil"/>
              <w:left w:val="nil"/>
              <w:bottom w:val="nil"/>
              <w:right w:val="nil"/>
            </w:tcBorders>
          </w:tcPr>
          <w:p>
            <w:pPr>
              <w:pStyle w:val="0"/>
              <w:jc w:val="center"/>
            </w:pPr>
            <w:r>
              <w:rPr>
                <w:sz w:val="20"/>
              </w:rPr>
              <w:t xml:space="preserve">II</w:t>
            </w:r>
          </w:p>
        </w:tc>
        <w:tc>
          <w:tcPr>
            <w:tcW w:w="5556" w:type="dxa"/>
            <w:tcBorders>
              <w:top w:val="nil"/>
              <w:left w:val="nil"/>
              <w:bottom w:val="nil"/>
              <w:right w:val="nil"/>
            </w:tcBorders>
          </w:tcPr>
          <w:p>
            <w:pPr>
              <w:pStyle w:val="0"/>
              <w:jc w:val="center"/>
            </w:pPr>
            <w:r>
              <w:rPr>
                <w:sz w:val="20"/>
              </w:rPr>
              <w:t xml:space="preserve">от 600001 до 800000</w:t>
            </w:r>
          </w:p>
        </w:tc>
      </w:tr>
      <w:tr>
        <w:tc>
          <w:tcPr>
            <w:tcW w:w="3510" w:type="dxa"/>
            <w:tcBorders>
              <w:top w:val="nil"/>
              <w:left w:val="nil"/>
              <w:bottom w:val="nil"/>
              <w:right w:val="nil"/>
            </w:tcBorders>
          </w:tcPr>
          <w:p>
            <w:pPr>
              <w:pStyle w:val="0"/>
              <w:jc w:val="center"/>
            </w:pPr>
            <w:r>
              <w:rPr>
                <w:sz w:val="20"/>
              </w:rPr>
              <w:t xml:space="preserve">III</w:t>
            </w:r>
          </w:p>
        </w:tc>
        <w:tc>
          <w:tcPr>
            <w:tcW w:w="5556" w:type="dxa"/>
            <w:tcBorders>
              <w:top w:val="nil"/>
              <w:left w:val="nil"/>
              <w:bottom w:val="nil"/>
              <w:right w:val="nil"/>
            </w:tcBorders>
          </w:tcPr>
          <w:p>
            <w:pPr>
              <w:pStyle w:val="0"/>
              <w:jc w:val="center"/>
            </w:pPr>
            <w:r>
              <w:rPr>
                <w:sz w:val="20"/>
              </w:rPr>
              <w:t xml:space="preserve">от 400001 до 600000</w:t>
            </w:r>
          </w:p>
        </w:tc>
      </w:tr>
      <w:tr>
        <w:tc>
          <w:tcPr>
            <w:tcW w:w="3510" w:type="dxa"/>
            <w:tcBorders>
              <w:top w:val="nil"/>
              <w:left w:val="nil"/>
              <w:bottom w:val="nil"/>
              <w:right w:val="nil"/>
            </w:tcBorders>
          </w:tcPr>
          <w:p>
            <w:pPr>
              <w:pStyle w:val="0"/>
              <w:jc w:val="center"/>
            </w:pPr>
            <w:r>
              <w:rPr>
                <w:sz w:val="20"/>
              </w:rPr>
              <w:t xml:space="preserve">IV</w:t>
            </w:r>
          </w:p>
        </w:tc>
        <w:tc>
          <w:tcPr>
            <w:tcW w:w="5556" w:type="dxa"/>
            <w:tcBorders>
              <w:top w:val="nil"/>
              <w:left w:val="nil"/>
              <w:bottom w:val="nil"/>
              <w:right w:val="nil"/>
            </w:tcBorders>
          </w:tcPr>
          <w:p>
            <w:pPr>
              <w:pStyle w:val="0"/>
              <w:jc w:val="center"/>
            </w:pPr>
            <w:r>
              <w:rPr>
                <w:sz w:val="20"/>
              </w:rPr>
              <w:t xml:space="preserve">от 200001 до 400000</w:t>
            </w:r>
          </w:p>
        </w:tc>
      </w:tr>
      <w:tr>
        <w:tc>
          <w:tcPr>
            <w:tcW w:w="3510" w:type="dxa"/>
            <w:tcBorders>
              <w:top w:val="nil"/>
              <w:left w:val="nil"/>
              <w:bottom w:val="nil"/>
              <w:right w:val="nil"/>
            </w:tcBorders>
          </w:tcPr>
          <w:p>
            <w:pPr>
              <w:pStyle w:val="0"/>
              <w:jc w:val="center"/>
            </w:pPr>
            <w:r>
              <w:rPr>
                <w:sz w:val="20"/>
              </w:rPr>
              <w:t xml:space="preserve">V</w:t>
            </w:r>
          </w:p>
        </w:tc>
        <w:tc>
          <w:tcPr>
            <w:tcW w:w="5556" w:type="dxa"/>
            <w:tcBorders>
              <w:top w:val="nil"/>
              <w:left w:val="nil"/>
              <w:bottom w:val="nil"/>
              <w:right w:val="nil"/>
            </w:tcBorders>
          </w:tcPr>
          <w:p>
            <w:pPr>
              <w:pStyle w:val="0"/>
              <w:jc w:val="center"/>
            </w:pPr>
            <w:r>
              <w:rPr>
                <w:sz w:val="20"/>
              </w:rPr>
              <w:t xml:space="preserve">от 50000 до 200000</w:t>
            </w:r>
          </w:p>
        </w:tc>
      </w:tr>
    </w:tbl>
    <w:p>
      <w:pPr>
        <w:pStyle w:val="0"/>
        <w:jc w:val="both"/>
      </w:pPr>
      <w:r>
        <w:rPr>
          <w:sz w:val="20"/>
        </w:rPr>
      </w:r>
    </w:p>
    <w:p>
      <w:pPr>
        <w:pStyle w:val="0"/>
        <w:outlineLvl w:val="2"/>
        <w:ind w:firstLine="540"/>
        <w:jc w:val="both"/>
      </w:pPr>
      <w:r>
        <w:rPr>
          <w:sz w:val="20"/>
        </w:rPr>
        <w:t xml:space="preserve">9. Медицинский центр мобилизационных резервов "Резерв" относится ко II группе по оплате труда руководителей учреждений.</w:t>
      </w:r>
    </w:p>
    <w:p>
      <w:pPr>
        <w:pStyle w:val="0"/>
        <w:jc w:val="both"/>
      </w:pPr>
      <w:r>
        <w:rPr>
          <w:sz w:val="20"/>
        </w:rPr>
        <w:t xml:space="preserve">(раздел введен </w:t>
      </w:r>
      <w:hyperlink w:history="0" r:id="rId135"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w:t>
      </w:r>
    </w:p>
    <w:bookmarkStart w:id="999" w:name="P999"/>
    <w:bookmarkEnd w:id="999"/>
    <w:p>
      <w:pPr>
        <w:pStyle w:val="0"/>
        <w:spacing w:before="200" w:line-rule="auto"/>
        <w:ind w:firstLine="540"/>
        <w:jc w:val="both"/>
      </w:pPr>
      <w:r>
        <w:rPr>
          <w:sz w:val="20"/>
        </w:rPr>
        <w:t xml:space="preserve">&lt;1&gt; Группа по оплате труда руководителей центральных районных больниц, центральных городских больниц, центральных медико-санитарных частей определяется с учетом числа коек как в самих больницах (центральных медико-санитарных частях), так и в учреждениях, подведомственных им.</w:t>
      </w:r>
    </w:p>
    <w:p>
      <w:pPr>
        <w:pStyle w:val="0"/>
        <w:spacing w:before="200" w:line-rule="auto"/>
        <w:ind w:firstLine="540"/>
        <w:jc w:val="both"/>
      </w:pPr>
      <w:r>
        <w:rPr>
          <w:sz w:val="20"/>
        </w:rPr>
        <w:t xml:space="preserve">Больницы и другие лечебно-профилактические медицинские организации, имеющие коечный фонд, в составе которых созданы диагностические (клинико-диагностические) центры, относятся на одну группу выше по сравнению с группой, определенной по показателям настоящего раздела.</w:t>
      </w:r>
    </w:p>
    <w:p>
      <w:pPr>
        <w:pStyle w:val="0"/>
        <w:spacing w:before="200" w:line-rule="auto"/>
        <w:ind w:firstLine="540"/>
        <w:jc w:val="both"/>
      </w:pPr>
      <w:r>
        <w:rPr>
          <w:sz w:val="20"/>
        </w:rPr>
        <w:t xml:space="preserve">Областные больницы относятся к I группе по оплате труда руководителей учреждений.</w:t>
      </w:r>
    </w:p>
    <w:bookmarkStart w:id="1002" w:name="P1002"/>
    <w:bookmarkEnd w:id="1002"/>
    <w:p>
      <w:pPr>
        <w:pStyle w:val="0"/>
        <w:spacing w:before="200" w:line-rule="auto"/>
        <w:ind w:firstLine="540"/>
        <w:jc w:val="both"/>
      </w:pPr>
      <w:r>
        <w:rPr>
          <w:sz w:val="20"/>
        </w:rPr>
        <w:t xml:space="preserve">&lt;2&gt;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bookmarkStart w:id="1003" w:name="P1003"/>
    <w:bookmarkEnd w:id="1003"/>
    <w:p>
      <w:pPr>
        <w:pStyle w:val="0"/>
        <w:spacing w:before="200" w:line-rule="auto"/>
        <w:ind w:firstLine="540"/>
        <w:jc w:val="both"/>
      </w:pPr>
      <w:r>
        <w:rPr>
          <w:sz w:val="20"/>
        </w:rPr>
        <w:t xml:space="preserve">&lt;3&gt; При определении величины показателя "Число врачебных должностей" учитываются должности самих руководителей, их заместителей - врачей, врачей - руководителей структурных подразделений, врачей (включая врачебные должности, которые содержатся за счет внебюджетных средств), зубных врачей, медицинских психологов.</w:t>
      </w:r>
    </w:p>
    <w:p>
      <w:pPr>
        <w:pStyle w:val="0"/>
        <w:spacing w:before="200" w:line-rule="auto"/>
        <w:ind w:firstLine="540"/>
        <w:jc w:val="both"/>
      </w:pPr>
      <w:r>
        <w:rPr>
          <w:sz w:val="20"/>
        </w:rPr>
        <w:t xml:space="preserve">Должности учитываются только в целых числах, дробная часть не учитывается.</w:t>
      </w:r>
    </w:p>
    <w:p>
      <w:pPr>
        <w:pStyle w:val="0"/>
        <w:spacing w:before="200" w:line-rule="auto"/>
        <w:ind w:firstLine="540"/>
        <w:jc w:val="both"/>
      </w:pPr>
      <w:r>
        <w:rPr>
          <w:sz w:val="20"/>
        </w:rPr>
        <w:t xml:space="preserve">Поликлиники, в составе которых созданы диагностические центры, относятся на одну группу выше по сравнению с группой, определенной по показателям, предусмотренным </w:t>
      </w:r>
      <w:hyperlink w:history="0" w:anchor="P906" w:tooltip="4. Поликлиники и другие учреждения, не имеющие коечного">
        <w:r>
          <w:rPr>
            <w:sz w:val="20"/>
            <w:color w:val="0000ff"/>
          </w:rPr>
          <w:t xml:space="preserve">разделом 4</w:t>
        </w:r>
      </w:hyperlink>
      <w:r>
        <w:rPr>
          <w:sz w:val="20"/>
        </w:rPr>
        <w:t xml:space="preserve">.</w:t>
      </w:r>
    </w:p>
    <w:p>
      <w:pPr>
        <w:pStyle w:val="0"/>
        <w:spacing w:before="200" w:line-rule="auto"/>
        <w:ind w:firstLine="540"/>
        <w:jc w:val="both"/>
      </w:pPr>
      <w:r>
        <w:rPr>
          <w:sz w:val="20"/>
        </w:rPr>
        <w:t xml:space="preserve">Группа по оплате труда руководителей лечебно-профилактических медицинских организаций, на которые возложены функции головного учреждения территориальной медицинской организации, определяется соответственно по показателям </w:t>
      </w:r>
      <w:hyperlink w:history="0" w:anchor="P906" w:tooltip="4. Поликлиники и другие учреждения, не имеющие коечного">
        <w:r>
          <w:rPr>
            <w:sz w:val="20"/>
            <w:color w:val="0000ff"/>
          </w:rPr>
          <w:t xml:space="preserve">раздела 4</w:t>
        </w:r>
      </w:hyperlink>
      <w:r>
        <w:rPr>
          <w:sz w:val="20"/>
        </w:rPr>
        <w:t xml:space="preserve"> или </w:t>
      </w:r>
      <w:hyperlink w:history="0" w:anchor="P857" w:tooltip="1. Больницы и другие лечебно-профилактические учреждения,">
        <w:r>
          <w:rPr>
            <w:sz w:val="20"/>
            <w:color w:val="0000ff"/>
          </w:rPr>
          <w:t xml:space="preserve">раздела 1</w:t>
        </w:r>
      </w:hyperlink>
      <w:r>
        <w:rPr>
          <w:sz w:val="20"/>
        </w:rPr>
        <w:t xml:space="preserve"> с учетом числа врачебных должностей (числа сметных коек) как в самом учреждении, так и во всех учреждениях, входящих в территориальную медицинскую организацию.</w:t>
      </w:r>
    </w:p>
    <w:p>
      <w:pPr>
        <w:pStyle w:val="0"/>
        <w:spacing w:before="200" w:line-rule="auto"/>
        <w:ind w:firstLine="540"/>
        <w:jc w:val="both"/>
      </w:pPr>
      <w:r>
        <w:rPr>
          <w:sz w:val="20"/>
        </w:rPr>
        <w:t xml:space="preserve">Больницы и другие лечебно-профилактические учреждения, имеющие в своем составе подразделения, оказывающие медицинскую помощь в амбулаторных условиях, и диспансеры, имеющие в своем составе подразделения, оказывающие медицинскую помощь в стационарных условиях, которые по показателям, предусмотренным </w:t>
      </w:r>
      <w:hyperlink w:history="0" w:anchor="P906" w:tooltip="4. Поликлиники и другие учреждения, не имеющие коечного">
        <w:r>
          <w:rPr>
            <w:sz w:val="20"/>
            <w:color w:val="0000ff"/>
          </w:rPr>
          <w:t xml:space="preserve">разделом 4</w:t>
        </w:r>
      </w:hyperlink>
      <w:r>
        <w:rPr>
          <w:sz w:val="20"/>
        </w:rPr>
        <w:t xml:space="preserve">, могут быть отнесены к той же или более высокой группе по оплате труда руководителей учреждений, чем это предусмотрено </w:t>
      </w:r>
      <w:hyperlink w:history="0" w:anchor="P857" w:tooltip="1. Больницы и другие лечебно-профилактические учреждения,">
        <w:r>
          <w:rPr>
            <w:sz w:val="20"/>
            <w:color w:val="0000ff"/>
          </w:rPr>
          <w:t xml:space="preserve">разделами 1</w:t>
        </w:r>
      </w:hyperlink>
      <w:r>
        <w:rPr>
          <w:sz w:val="20"/>
        </w:rPr>
        <w:t xml:space="preserve"> и </w:t>
      </w:r>
      <w:hyperlink w:history="0" w:anchor="P877" w:tooltip="2. Психиатрическая больница, психоневрологические,">
        <w:r>
          <w:rPr>
            <w:sz w:val="20"/>
            <w:color w:val="0000ff"/>
          </w:rPr>
          <w:t xml:space="preserve">2</w:t>
        </w:r>
      </w:hyperlink>
      <w:r>
        <w:rPr>
          <w:sz w:val="20"/>
        </w:rPr>
        <w:t xml:space="preserve">, относятся к группе по оплате труда руководителей учреждений по более высокому показателю с увеличением на одну группу.</w:t>
      </w:r>
    </w:p>
    <w:p>
      <w:pPr>
        <w:pStyle w:val="0"/>
        <w:jc w:val="both"/>
      </w:pPr>
      <w:r>
        <w:rPr>
          <w:sz w:val="20"/>
        </w:rPr>
        <w:t xml:space="preserve">(в ред. </w:t>
      </w:r>
      <w:hyperlink w:history="0" r:id="rId136"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22.05.2019 N 333)</w:t>
      </w:r>
    </w:p>
    <w:p>
      <w:pPr>
        <w:pStyle w:val="0"/>
        <w:spacing w:before="200" w:line-rule="auto"/>
        <w:ind w:firstLine="540"/>
        <w:jc w:val="both"/>
      </w:pPr>
      <w:r>
        <w:rPr>
          <w:sz w:val="20"/>
        </w:rPr>
        <w:t xml:space="preserve">Областное бюро судебно-медицинской экспертизы по показателям группы по оплате труда руководителей учреждения здравоохранения относится на одну группу выше, чем это предусмотрено показателями </w:t>
      </w:r>
      <w:hyperlink w:history="0" w:anchor="P906" w:tooltip="4. Поликлиники и другие учреждения, не имеющие коечного">
        <w:r>
          <w:rPr>
            <w:sz w:val="20"/>
            <w:color w:val="0000ff"/>
          </w:rPr>
          <w:t xml:space="preserve">раздела 4</w:t>
        </w:r>
      </w:hyperlink>
      <w:r>
        <w:rPr>
          <w:sz w:val="20"/>
        </w:rPr>
        <w:t xml:space="preserve">.</w:t>
      </w:r>
    </w:p>
    <w:p>
      <w:pPr>
        <w:pStyle w:val="0"/>
        <w:spacing w:before="200" w:line-rule="auto"/>
        <w:ind w:firstLine="540"/>
        <w:jc w:val="both"/>
      </w:pPr>
      <w:r>
        <w:rPr>
          <w:sz w:val="20"/>
        </w:rPr>
        <w:t xml:space="preserve">Областной центр медицины катастроф и скорой медицинской помощи относится к II группе по оплате труда руководителей учреждений.</w:t>
      </w:r>
    </w:p>
    <w:p>
      <w:pPr>
        <w:pStyle w:val="0"/>
        <w:spacing w:before="200" w:line-rule="auto"/>
        <w:ind w:firstLine="540"/>
        <w:jc w:val="both"/>
      </w:pPr>
      <w:r>
        <w:rPr>
          <w:sz w:val="20"/>
        </w:rPr>
        <w:t xml:space="preserve">Областной центр медицинской профилактики относится к V группе по оплате труда руководителей учреждений.</w:t>
      </w:r>
    </w:p>
    <w:p>
      <w:pPr>
        <w:pStyle w:val="0"/>
        <w:spacing w:before="200" w:line-rule="auto"/>
        <w:ind w:firstLine="540"/>
        <w:jc w:val="both"/>
      </w:pPr>
      <w:r>
        <w:rPr>
          <w:sz w:val="20"/>
        </w:rPr>
        <w:t xml:space="preserve">Центр утилизации медицинских отходов относится к III группе по оплате труда руководителей учреждений.</w:t>
      </w:r>
    </w:p>
    <w:p>
      <w:pPr>
        <w:pStyle w:val="0"/>
        <w:jc w:val="both"/>
      </w:pPr>
      <w:r>
        <w:rPr>
          <w:sz w:val="20"/>
        </w:rPr>
        <w:t xml:space="preserve">(абзац введен </w:t>
      </w:r>
      <w:hyperlink w:history="0" r:id="rId137"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25.10.2023 N 853)</w:t>
      </w:r>
    </w:p>
    <w:bookmarkStart w:id="1014" w:name="P1014"/>
    <w:bookmarkEnd w:id="1014"/>
    <w:p>
      <w:pPr>
        <w:pStyle w:val="0"/>
        <w:spacing w:before="200" w:line-rule="auto"/>
        <w:ind w:firstLine="540"/>
        <w:jc w:val="both"/>
      </w:pPr>
      <w:r>
        <w:rPr>
          <w:sz w:val="20"/>
        </w:rPr>
        <w:t xml:space="preserve">&lt;4&gt; Станции переливания крови, только заготавливающие кровь в объеме не менее 2 тысяч литров в год, относятся к V группе по оплате труда руководителей учреждений.</w:t>
      </w:r>
    </w:p>
    <w:p>
      <w:pPr>
        <w:pStyle w:val="0"/>
        <w:spacing w:before="200" w:line-rule="auto"/>
        <w:ind w:firstLine="540"/>
        <w:jc w:val="both"/>
      </w:pPr>
      <w:r>
        <w:rPr>
          <w:sz w:val="20"/>
        </w:rPr>
        <w:t xml:space="preserve">Станции переливания крови, не производящие фракционирование белков плазмы или перерабатывающие плазму фракционированием менее 5 тысяч литров в год, относятся к I - IV группам по оплате труда руководителей по показателям, указанным в </w:t>
      </w:r>
      <w:hyperlink w:history="0" w:anchor="P931" w:tooltip="Заготавливающие плазму методом плазмафереза">
        <w:r>
          <w:rPr>
            <w:sz w:val="20"/>
            <w:color w:val="0000ff"/>
          </w:rPr>
          <w:t xml:space="preserve">подразделе</w:t>
        </w:r>
      </w:hyperlink>
      <w:r>
        <w:rPr>
          <w:sz w:val="20"/>
        </w:rPr>
        <w:t xml:space="preserve"> "Заготавливающие плазму методом плазмафереза", при условии переработки не менее 85% от общего объема крови (с учетом крови, полученной из других учреждений) и производства не менее 300 доз эритроцитной массы, обедненной лейкоцитами и тромбоцитами, концентрата тромбоцитов (при наличии пластиковой тары), не менее 250 литров свежезамороженной плазмы, не менее 200 литров антистафилококковой плазмы гипериммунной (замороженной), не менее 400 доз криопреципитата. При невыполнении перечисленных условий эти станции переливания крови относятся к V группе по оплате труда руководителей.</w:t>
      </w:r>
    </w:p>
    <w:p>
      <w:pPr>
        <w:pStyle w:val="0"/>
        <w:spacing w:before="200" w:line-rule="auto"/>
        <w:ind w:firstLine="540"/>
        <w:jc w:val="both"/>
      </w:pPr>
      <w:r>
        <w:rPr>
          <w:sz w:val="20"/>
        </w:rPr>
        <w:t xml:space="preserve">Станции переливания крови, перерабатывающие плазму фракционированием, относятся к I - IV группам по оплате труда руководителей учреждений по показателям, указанным в </w:t>
      </w:r>
      <w:hyperlink w:history="0" w:anchor="P944" w:tooltip="Перерабатывающие плазму фракционированием">
        <w:r>
          <w:rPr>
            <w:sz w:val="20"/>
            <w:color w:val="0000ff"/>
          </w:rPr>
          <w:t xml:space="preserve">подразделе</w:t>
        </w:r>
      </w:hyperlink>
      <w:r>
        <w:rPr>
          <w:sz w:val="20"/>
        </w:rPr>
        <w:t xml:space="preserve"> "Перерабатывающие плазму фракционированием", при условии переработки не менее 85% от общего объема крови (с учетом крови, полученной из других учреждений) и производства эритроцитной массы, обедненной лейкоцитами и тромбоцитами, концентрата тромбоцитов (при наличии пластиковой тары), свежезамороженной плазмы, криопреципитата, иммуноглобулинов различной специфичности.</w:t>
      </w:r>
    </w:p>
    <w:p>
      <w:pPr>
        <w:pStyle w:val="0"/>
        <w:spacing w:before="200" w:line-rule="auto"/>
        <w:ind w:firstLine="540"/>
        <w:jc w:val="both"/>
      </w:pPr>
      <w:r>
        <w:rPr>
          <w:sz w:val="20"/>
        </w:rPr>
        <w:t xml:space="preserve">При этом если иммуноглобулины той или иной специфичности не выпускаются, вместо них засчитывается плановая поставка иммунной плазмы в другие станции переливания крови.</w:t>
      </w:r>
    </w:p>
    <w:p>
      <w:pPr>
        <w:pStyle w:val="0"/>
        <w:spacing w:before="200" w:line-rule="auto"/>
        <w:ind w:firstLine="540"/>
        <w:jc w:val="both"/>
      </w:pPr>
      <w:r>
        <w:rPr>
          <w:sz w:val="20"/>
        </w:rPr>
        <w:t xml:space="preserve">При невыполнении перечисленных условий эти станции переливания крови относятся к V группе по оплате труда руководителей.</w:t>
      </w:r>
    </w:p>
    <w:p>
      <w:pPr>
        <w:pStyle w:val="0"/>
        <w:spacing w:before="200" w:line-rule="auto"/>
        <w:ind w:firstLine="540"/>
        <w:jc w:val="both"/>
      </w:pPr>
      <w:r>
        <w:rPr>
          <w:sz w:val="20"/>
        </w:rPr>
        <w:t xml:space="preserve">С учетом вышеуказанных условий все станции переливания крови могут повышать группу по оплате труда суммарно за производство (вплоть до первой):</w:t>
      </w:r>
    </w:p>
    <w:p>
      <w:pPr>
        <w:pStyle w:val="0"/>
        <w:spacing w:before="200" w:line-rule="auto"/>
        <w:ind w:firstLine="540"/>
        <w:jc w:val="both"/>
      </w:pPr>
      <w:r>
        <w:rPr>
          <w:sz w:val="20"/>
        </w:rPr>
        <w:t xml:space="preserve">иммунной плазмы различной специфичности из расчета за каждую тонну суммарно в год;</w:t>
      </w:r>
    </w:p>
    <w:p>
      <w:pPr>
        <w:pStyle w:val="0"/>
        <w:spacing w:before="200" w:line-rule="auto"/>
        <w:ind w:firstLine="540"/>
        <w:jc w:val="both"/>
      </w:pPr>
      <w:r>
        <w:rPr>
          <w:sz w:val="20"/>
        </w:rPr>
        <w:t xml:space="preserve">эритроцитарной массы, обедненной лейкоцитами и тромбоцитами, из расчета на каждые 3 тысячи доз в год;</w:t>
      </w:r>
    </w:p>
    <w:p>
      <w:pPr>
        <w:pStyle w:val="0"/>
        <w:spacing w:before="200" w:line-rule="auto"/>
        <w:ind w:firstLine="540"/>
        <w:jc w:val="both"/>
      </w:pPr>
      <w:r>
        <w:rPr>
          <w:sz w:val="20"/>
        </w:rPr>
        <w:t xml:space="preserve">размороженных эритроцитов из расчета на каждые 2 тысячи доз в год;</w:t>
      </w:r>
    </w:p>
    <w:p>
      <w:pPr>
        <w:pStyle w:val="0"/>
        <w:spacing w:before="200" w:line-rule="auto"/>
        <w:ind w:firstLine="540"/>
        <w:jc w:val="both"/>
      </w:pPr>
      <w:r>
        <w:rPr>
          <w:sz w:val="20"/>
        </w:rPr>
        <w:t xml:space="preserve">концентрата тромбоцитов из расчета на каждые 2 тысячи доз в год (одна доза приготавливается из 500 мл консервированной крови);</w:t>
      </w:r>
    </w:p>
    <w:p>
      <w:pPr>
        <w:pStyle w:val="0"/>
        <w:spacing w:before="200" w:line-rule="auto"/>
        <w:ind w:firstLine="540"/>
        <w:jc w:val="both"/>
      </w:pPr>
      <w:r>
        <w:rPr>
          <w:sz w:val="20"/>
        </w:rPr>
        <w:t xml:space="preserve">криопреципитата из расчета на каждые 2,5 тысячи доз в год.</w:t>
      </w:r>
    </w:p>
    <w:p>
      <w:pPr>
        <w:pStyle w:val="0"/>
        <w:spacing w:before="200" w:line-rule="auto"/>
        <w:ind w:firstLine="540"/>
        <w:jc w:val="both"/>
      </w:pPr>
      <w:r>
        <w:rPr>
          <w:sz w:val="20"/>
        </w:rPr>
        <w:t xml:space="preserve">По каждому перечисленному показателю группа по оплате труда руководителей может быть повышена только на одну группу.</w:t>
      </w:r>
    </w:p>
    <w:p>
      <w:pPr>
        <w:pStyle w:val="0"/>
        <w:spacing w:before="200" w:line-rule="auto"/>
        <w:ind w:firstLine="540"/>
        <w:jc w:val="both"/>
      </w:pPr>
      <w:r>
        <w:rPr>
          <w:sz w:val="20"/>
        </w:rPr>
        <w:t xml:space="preserve">Кроме того, станции переливания крови, перерабатывающие фракционированием 5 тысяч литров и более плазмы в год, могут повышать группу по оплате труда руководителей за плазму, заготовленную методом плазмафереза (для станций переливания крови III группы по оплате труда руководителей - за каждые 4 тонны, для станций переливания крови II группы по оплате труда руководителей - за каждые 5 тонн), а также за увеличение выхода альбумина из одного литра плазмы на 5% от норматива, предусмотренного действующим регламентом.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1040" w:name="P1040"/>
    <w:bookmarkEnd w:id="1040"/>
    <w:p>
      <w:pPr>
        <w:pStyle w:val="2"/>
        <w:jc w:val="center"/>
      </w:pPr>
      <w:r>
        <w:rPr>
          <w:sz w:val="20"/>
        </w:rPr>
        <w:t xml:space="preserve">ПРЕДЕЛЬНЫЙ УРОВЕНЬ</w:t>
      </w:r>
    </w:p>
    <w:p>
      <w:pPr>
        <w:pStyle w:val="2"/>
        <w:jc w:val="center"/>
      </w:pPr>
      <w:r>
        <w:rPr>
          <w:sz w:val="20"/>
        </w:rPr>
        <w:t xml:space="preserve">СООТНОШЕНИЯ СРЕДНЕМЕСЯЧНОЙ ЗАРАБОТНОЙ ПЛАТЫ</w:t>
      </w:r>
    </w:p>
    <w:p>
      <w:pPr>
        <w:pStyle w:val="2"/>
        <w:jc w:val="center"/>
      </w:pPr>
      <w:r>
        <w:rPr>
          <w:sz w:val="20"/>
        </w:rPr>
        <w:t xml:space="preserve">ЗА КАЛЕНДАРНЫЙ ГОД РУКОВОДИТЕЛЕЙ, ЗАМЕСТИТЕЛЕЙ</w:t>
      </w:r>
    </w:p>
    <w:p>
      <w:pPr>
        <w:pStyle w:val="2"/>
        <w:jc w:val="center"/>
      </w:pPr>
      <w:r>
        <w:rPr>
          <w:sz w:val="20"/>
        </w:rPr>
        <w:t xml:space="preserve">РУКОВОДИТЕЛЕЙ, ГЛАВНЫХ БУХГАЛТЕРОВ УЧРЕЖДЕНИЙ</w:t>
      </w:r>
    </w:p>
    <w:p>
      <w:pPr>
        <w:pStyle w:val="2"/>
        <w:jc w:val="center"/>
      </w:pPr>
      <w:r>
        <w:rPr>
          <w:sz w:val="20"/>
        </w:rPr>
        <w:t xml:space="preserve">И СРЕДНЕМЕСЯЧНОЙ ЗАРАБОТНОЙ ПЛАТЫ ЗА КАЛЕНДАРНЫЙ ГОД</w:t>
      </w:r>
    </w:p>
    <w:p>
      <w:pPr>
        <w:pStyle w:val="2"/>
        <w:jc w:val="center"/>
      </w:pPr>
      <w:r>
        <w:rPr>
          <w:sz w:val="20"/>
        </w:rPr>
        <w:t xml:space="preserve">РАБОТНИКОВ СООТВЕТСТВУЮЩИХ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8"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25.10.2023 N 853)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06"/>
        <w:gridCol w:w="4706"/>
        <w:gridCol w:w="1757"/>
        <w:gridCol w:w="1871"/>
      </w:tblGrid>
      <w:tr>
        <w:tblPrEx>
          <w:tblBorders>
            <w:left w:val="single" w:sz="4"/>
            <w:right w:val="single" w:sz="4"/>
            <w:insideV w:val="single" w:sz="4"/>
            <w:insideH w:val="single" w:sz="4"/>
          </w:tblBorders>
        </w:tblPrEx>
        <w:tc>
          <w:tcPr>
            <w:tcW w:w="706" w:type="dxa"/>
            <w:tcBorders>
              <w:top w:val="single" w:sz="4"/>
              <w:bottom w:val="single" w:sz="4"/>
            </w:tcBorders>
          </w:tcPr>
          <w:p>
            <w:pPr>
              <w:pStyle w:val="0"/>
              <w:jc w:val="center"/>
            </w:pPr>
            <w:r>
              <w:rPr>
                <w:sz w:val="20"/>
              </w:rPr>
              <w:t xml:space="preserve">N п/п</w:t>
            </w:r>
          </w:p>
        </w:tc>
        <w:tc>
          <w:tcPr>
            <w:tcW w:w="4706" w:type="dxa"/>
            <w:tcBorders>
              <w:top w:val="single" w:sz="4"/>
              <w:bottom w:val="single" w:sz="4"/>
            </w:tcBorders>
          </w:tcPr>
          <w:p>
            <w:pPr>
              <w:pStyle w:val="0"/>
              <w:jc w:val="center"/>
            </w:pPr>
            <w:r>
              <w:rPr>
                <w:sz w:val="20"/>
              </w:rPr>
              <w:t xml:space="preserve">Наименование учреждения</w:t>
            </w:r>
          </w:p>
        </w:tc>
        <w:tc>
          <w:tcPr>
            <w:tcW w:w="1757" w:type="dxa"/>
            <w:tcBorders>
              <w:top w:val="single" w:sz="4"/>
              <w:bottom w:val="single" w:sz="4"/>
            </w:tcBorders>
          </w:tcPr>
          <w:p>
            <w:pPr>
              <w:pStyle w:val="0"/>
              <w:jc w:val="center"/>
            </w:pPr>
            <w:r>
              <w:rPr>
                <w:sz w:val="20"/>
              </w:rPr>
              <w:t xml:space="preserve">Предельный уровень соотношения (для руководителей учреждения)</w:t>
            </w:r>
          </w:p>
        </w:tc>
        <w:tc>
          <w:tcPr>
            <w:tcW w:w="1871" w:type="dxa"/>
            <w:tcBorders>
              <w:top w:val="single" w:sz="4"/>
              <w:bottom w:val="single" w:sz="4"/>
            </w:tcBorders>
          </w:tcPr>
          <w:p>
            <w:pPr>
              <w:pStyle w:val="0"/>
              <w:jc w:val="center"/>
            </w:pPr>
            <w:r>
              <w:rPr>
                <w:sz w:val="20"/>
              </w:rPr>
              <w:t xml:space="preserve">Предельный уровень соотношения (для заместителей руководителей, главных бухгалтеров)</w:t>
            </w:r>
          </w:p>
        </w:tc>
      </w:tr>
      <w:tr>
        <w:tc>
          <w:tcPr>
            <w:tcW w:w="706" w:type="dxa"/>
            <w:tcBorders>
              <w:top w:val="single" w:sz="4"/>
              <w:left w:val="nil"/>
              <w:bottom w:val="nil"/>
              <w:right w:val="nil"/>
            </w:tcBorders>
          </w:tcPr>
          <w:p>
            <w:pPr>
              <w:pStyle w:val="0"/>
              <w:jc w:val="center"/>
            </w:pPr>
            <w:r>
              <w:rPr>
                <w:sz w:val="20"/>
              </w:rPr>
              <w:t xml:space="preserve">1.</w:t>
            </w:r>
          </w:p>
        </w:tc>
        <w:tc>
          <w:tcPr>
            <w:tcW w:w="4706" w:type="dxa"/>
            <w:tcBorders>
              <w:top w:val="single" w:sz="4"/>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"Тольяттинский лечебно-реабилитационный центр "Ариадна"</w:t>
            </w:r>
          </w:p>
        </w:tc>
        <w:tc>
          <w:tcPr>
            <w:tcW w:w="1757" w:type="dxa"/>
            <w:tcBorders>
              <w:top w:val="single" w:sz="4"/>
              <w:left w:val="nil"/>
              <w:bottom w:val="nil"/>
              <w:right w:val="nil"/>
            </w:tcBorders>
          </w:tcPr>
          <w:p>
            <w:pPr>
              <w:pStyle w:val="0"/>
              <w:jc w:val="center"/>
            </w:pPr>
            <w:r>
              <w:rPr>
                <w:sz w:val="20"/>
              </w:rPr>
              <w:t xml:space="preserve">2,4</w:t>
            </w:r>
          </w:p>
        </w:tc>
        <w:tc>
          <w:tcPr>
            <w:tcW w:w="1871" w:type="dxa"/>
            <w:tcBorders>
              <w:top w:val="single" w:sz="4"/>
              <w:left w:val="nil"/>
              <w:bottom w:val="nil"/>
              <w:right w:val="nil"/>
            </w:tcBorders>
          </w:tcPr>
          <w:p>
            <w:pPr>
              <w:pStyle w:val="0"/>
              <w:jc w:val="center"/>
            </w:pPr>
            <w:r>
              <w:rPr>
                <w:sz w:val="20"/>
              </w:rPr>
              <w:t xml:space="preserve">2,2</w:t>
            </w:r>
          </w:p>
        </w:tc>
      </w:tr>
      <w:tr>
        <w:tc>
          <w:tcPr>
            <w:tcW w:w="706" w:type="dxa"/>
            <w:tcBorders>
              <w:top w:val="nil"/>
              <w:left w:val="nil"/>
              <w:bottom w:val="nil"/>
              <w:right w:val="nil"/>
            </w:tcBorders>
          </w:tcPr>
          <w:p>
            <w:pPr>
              <w:pStyle w:val="0"/>
              <w:jc w:val="center"/>
            </w:pPr>
            <w:r>
              <w:rPr>
                <w:sz w:val="20"/>
              </w:rPr>
              <w:t xml:space="preserve">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"Тольяттинский врачебно-физкультурный диспансер"</w:t>
            </w:r>
          </w:p>
        </w:tc>
        <w:tc>
          <w:tcPr>
            <w:tcW w:w="1757" w:type="dxa"/>
            <w:tcBorders>
              <w:top w:val="nil"/>
              <w:left w:val="nil"/>
              <w:bottom w:val="nil"/>
              <w:right w:val="nil"/>
            </w:tcBorders>
          </w:tcPr>
          <w:p>
            <w:pPr>
              <w:pStyle w:val="0"/>
              <w:jc w:val="center"/>
            </w:pPr>
            <w:r>
              <w:rPr>
                <w:sz w:val="20"/>
              </w:rPr>
              <w:t xml:space="preserve">2,4</w:t>
            </w:r>
          </w:p>
        </w:tc>
        <w:tc>
          <w:tcPr>
            <w:tcW w:w="1871" w:type="dxa"/>
            <w:tcBorders>
              <w:top w:val="nil"/>
              <w:left w:val="nil"/>
              <w:bottom w:val="nil"/>
              <w:right w:val="nil"/>
            </w:tcBorders>
          </w:tcPr>
          <w:p>
            <w:pPr>
              <w:pStyle w:val="0"/>
              <w:jc w:val="center"/>
            </w:pPr>
            <w:r>
              <w:rPr>
                <w:sz w:val="20"/>
              </w:rPr>
              <w:t xml:space="preserve">2,2</w:t>
            </w:r>
          </w:p>
        </w:tc>
      </w:tr>
      <w:tr>
        <w:tc>
          <w:tcPr>
            <w:tcW w:w="706" w:type="dxa"/>
            <w:tcBorders>
              <w:top w:val="nil"/>
              <w:left w:val="nil"/>
              <w:bottom w:val="nil"/>
              <w:right w:val="nil"/>
            </w:tcBorders>
          </w:tcPr>
          <w:p>
            <w:pPr>
              <w:pStyle w:val="0"/>
              <w:jc w:val="center"/>
            </w:pPr>
            <w:r>
              <w:rPr>
                <w:sz w:val="20"/>
              </w:rPr>
              <w:t xml:space="preserve">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медицинский центр Династия"</w:t>
            </w:r>
          </w:p>
        </w:tc>
        <w:tc>
          <w:tcPr>
            <w:tcW w:w="1757" w:type="dxa"/>
            <w:tcBorders>
              <w:top w:val="nil"/>
              <w:left w:val="nil"/>
              <w:bottom w:val="nil"/>
              <w:right w:val="nil"/>
            </w:tcBorders>
          </w:tcPr>
          <w:p>
            <w:pPr>
              <w:pStyle w:val="0"/>
              <w:jc w:val="center"/>
            </w:pPr>
            <w:r>
              <w:rPr>
                <w:sz w:val="20"/>
              </w:rPr>
              <w:t xml:space="preserve">2,4</w:t>
            </w:r>
          </w:p>
        </w:tc>
        <w:tc>
          <w:tcPr>
            <w:tcW w:w="1871" w:type="dxa"/>
            <w:tcBorders>
              <w:top w:val="nil"/>
              <w:left w:val="nil"/>
              <w:bottom w:val="nil"/>
              <w:right w:val="nil"/>
            </w:tcBorders>
          </w:tcPr>
          <w:p>
            <w:pPr>
              <w:pStyle w:val="0"/>
              <w:jc w:val="center"/>
            </w:pPr>
            <w:r>
              <w:rPr>
                <w:sz w:val="20"/>
              </w:rPr>
              <w:t xml:space="preserve">2,2</w:t>
            </w:r>
          </w:p>
        </w:tc>
      </w:tr>
      <w:tr>
        <w:tc>
          <w:tcPr>
            <w:tcW w:w="706" w:type="dxa"/>
            <w:tcBorders>
              <w:top w:val="nil"/>
              <w:left w:val="nil"/>
              <w:bottom w:val="nil"/>
              <w:right w:val="nil"/>
            </w:tcBorders>
          </w:tcPr>
          <w:p>
            <w:pPr>
              <w:pStyle w:val="0"/>
              <w:jc w:val="center"/>
            </w:pPr>
            <w:r>
              <w:rPr>
                <w:sz w:val="20"/>
              </w:rPr>
              <w:t xml:space="preserve">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"Центр контроля качества лекарственных средств Самарской области"</w:t>
            </w:r>
          </w:p>
        </w:tc>
        <w:tc>
          <w:tcPr>
            <w:tcW w:w="1757" w:type="dxa"/>
            <w:tcBorders>
              <w:top w:val="nil"/>
              <w:left w:val="nil"/>
              <w:bottom w:val="nil"/>
              <w:right w:val="nil"/>
            </w:tcBorders>
          </w:tcPr>
          <w:p>
            <w:pPr>
              <w:pStyle w:val="0"/>
              <w:jc w:val="center"/>
            </w:pPr>
            <w:r>
              <w:rPr>
                <w:sz w:val="20"/>
              </w:rPr>
              <w:t xml:space="preserve">2,4</w:t>
            </w:r>
          </w:p>
        </w:tc>
        <w:tc>
          <w:tcPr>
            <w:tcW w:w="1871" w:type="dxa"/>
            <w:tcBorders>
              <w:top w:val="nil"/>
              <w:left w:val="nil"/>
              <w:bottom w:val="nil"/>
              <w:right w:val="nil"/>
            </w:tcBorders>
          </w:tcPr>
          <w:p>
            <w:pPr>
              <w:pStyle w:val="0"/>
              <w:jc w:val="center"/>
            </w:pPr>
            <w:r>
              <w:rPr>
                <w:sz w:val="20"/>
              </w:rPr>
              <w:t xml:space="preserve">2,2</w:t>
            </w:r>
          </w:p>
        </w:tc>
      </w:tr>
      <w:tr>
        <w:tc>
          <w:tcPr>
            <w:tcW w:w="706" w:type="dxa"/>
            <w:tcBorders>
              <w:top w:val="nil"/>
              <w:left w:val="nil"/>
              <w:bottom w:val="nil"/>
              <w:right w:val="nil"/>
            </w:tcBorders>
          </w:tcPr>
          <w:p>
            <w:pPr>
              <w:pStyle w:val="0"/>
              <w:jc w:val="center"/>
            </w:pPr>
            <w:r>
              <w:rPr>
                <w:sz w:val="20"/>
              </w:rPr>
              <w:t xml:space="preserve">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дезинфекционная станция"</w:t>
            </w:r>
          </w:p>
        </w:tc>
        <w:tc>
          <w:tcPr>
            <w:tcW w:w="1757" w:type="dxa"/>
            <w:tcBorders>
              <w:top w:val="nil"/>
              <w:left w:val="nil"/>
              <w:bottom w:val="nil"/>
              <w:right w:val="nil"/>
            </w:tcBorders>
          </w:tcPr>
          <w:p>
            <w:pPr>
              <w:pStyle w:val="0"/>
              <w:jc w:val="center"/>
            </w:pPr>
            <w:r>
              <w:rPr>
                <w:sz w:val="20"/>
              </w:rPr>
              <w:t xml:space="preserve">2,5</w:t>
            </w:r>
          </w:p>
        </w:tc>
        <w:tc>
          <w:tcPr>
            <w:tcW w:w="1871" w:type="dxa"/>
            <w:tcBorders>
              <w:top w:val="nil"/>
              <w:left w:val="nil"/>
              <w:bottom w:val="nil"/>
              <w:right w:val="nil"/>
            </w:tcBorders>
          </w:tcPr>
          <w:p>
            <w:pPr>
              <w:pStyle w:val="0"/>
              <w:jc w:val="center"/>
            </w:pPr>
            <w:r>
              <w:rPr>
                <w:sz w:val="20"/>
              </w:rPr>
              <w:t xml:space="preserve">2,3</w:t>
            </w:r>
          </w:p>
        </w:tc>
      </w:tr>
      <w:tr>
        <w:tc>
          <w:tcPr>
            <w:tcW w:w="706" w:type="dxa"/>
            <w:tcBorders>
              <w:top w:val="nil"/>
              <w:left w:val="nil"/>
              <w:bottom w:val="nil"/>
              <w:right w:val="nil"/>
            </w:tcBorders>
          </w:tcPr>
          <w:p>
            <w:pPr>
              <w:pStyle w:val="0"/>
              <w:jc w:val="center"/>
            </w:pPr>
            <w:r>
              <w:rPr>
                <w:sz w:val="20"/>
              </w:rPr>
              <w:t xml:space="preserve">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"Новокуйбышевская стоматологическая поликлиника"</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станция скорой медицинской помощи"</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"Сызранская стоматологическая поликлиника"</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9.</w:t>
            </w:r>
          </w:p>
        </w:tc>
        <w:tc>
          <w:tcPr>
            <w:tcW w:w="4706" w:type="dxa"/>
            <w:tcBorders>
              <w:top w:val="nil"/>
              <w:left w:val="nil"/>
              <w:bottom w:val="nil"/>
              <w:right w:val="nil"/>
            </w:tcBorders>
          </w:tcPr>
          <w:p>
            <w:pPr>
              <w:pStyle w:val="0"/>
              <w:jc w:val="both"/>
            </w:pPr>
            <w:r>
              <w:rPr>
                <w:sz w:val="20"/>
              </w:rPr>
              <w:t xml:space="preserve">Государственное автономное учреждение здравоохранения Самарской области "Чапаевская стоматологическая поликлиника"</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стоматологическая поликлиника N 1"</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стоматологическая поликлиника N 3"</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станция скорой медицинской помощи"</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клиническая стоматологическая поликлиника N 1"</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стоматологическая поликлиника N 6"</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стоматологическая поликлиника N 3"</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клиническая стоматологическая поликлиника"</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19.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центр общественного здоровья и медицинской профилактики"</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20.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центр медицины катастроф и скорой медицинской помощи"</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21.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станция скорой медицинской помощи"</w:t>
            </w:r>
          </w:p>
        </w:tc>
        <w:tc>
          <w:tcPr>
            <w:tcW w:w="1757" w:type="dxa"/>
            <w:tcBorders>
              <w:top w:val="nil"/>
              <w:left w:val="nil"/>
              <w:bottom w:val="nil"/>
              <w:right w:val="nil"/>
            </w:tcBorders>
          </w:tcPr>
          <w:p>
            <w:pPr>
              <w:pStyle w:val="0"/>
              <w:jc w:val="center"/>
            </w:pPr>
            <w:r>
              <w:rPr>
                <w:sz w:val="20"/>
              </w:rPr>
              <w:t xml:space="preserve">3,2</w:t>
            </w:r>
          </w:p>
        </w:tc>
        <w:tc>
          <w:tcPr>
            <w:tcW w:w="1871" w:type="dxa"/>
            <w:tcBorders>
              <w:top w:val="nil"/>
              <w:left w:val="nil"/>
              <w:bottom w:val="nil"/>
              <w:right w:val="nil"/>
            </w:tcBorders>
          </w:tcPr>
          <w:p>
            <w:pPr>
              <w:pStyle w:val="0"/>
              <w:jc w:val="center"/>
            </w:pPr>
            <w:r>
              <w:rPr>
                <w:sz w:val="20"/>
              </w:rPr>
              <w:t xml:space="preserve">2,9</w:t>
            </w:r>
          </w:p>
        </w:tc>
      </w:tr>
      <w:tr>
        <w:tc>
          <w:tcPr>
            <w:tcW w:w="706" w:type="dxa"/>
            <w:tcBorders>
              <w:top w:val="nil"/>
              <w:left w:val="nil"/>
              <w:bottom w:val="nil"/>
              <w:right w:val="nil"/>
            </w:tcBorders>
          </w:tcPr>
          <w:p>
            <w:pPr>
              <w:pStyle w:val="0"/>
              <w:jc w:val="center"/>
            </w:pPr>
            <w:r>
              <w:rPr>
                <w:sz w:val="20"/>
              </w:rPr>
              <w:t xml:space="preserve">22.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кожно-венерологический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23.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"Богатовская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24.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"Октябрьская центральная городская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25.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"Безенчукская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26.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"Большеглушицкая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27.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"Большечерниговская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28.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"Борская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29.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"Исаклинская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"Кинельская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"Кошкинская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"Красноармейская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"Красноярская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"Кинель-Черкасская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"Клявлинская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"Нефтегорская центральная районная больница им. Н.И. Звягинцева"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"Пестравская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"Похвистневская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39.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"Приволжская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"Ставропольская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"Челно-Вершинская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"Хворостянская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"Шенталинская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"Шигонская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"Камышлинская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"Елховская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"Новокуйбышевская центральная городская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"Отрадненская городская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49.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"Сызранская центральная городская и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"Сызранский кожно-венерологический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"Сызранский наркологический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"Чапаевская центральная городская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"Тольяттинский наркологический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детская клиническая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клиническая больница N 1"</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больница N 4"</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клиническая больница N 5"</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поликлиника N 1"</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59.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клиническая поликлиника N 3"</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"Тольяттинский кожно-венерологический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поликлиника N 2"</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клиническая больница N 2 имени Н.А. Семашко"</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клиническая гериатрическая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детская клиническая больница им. Н.Н. Ивановой"</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детская инфекционная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поликлиника N 13 Железнодорожного района"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поликлиника N 4 Кировского района"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клиническая больница N 8"</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69.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больница N 5"</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больница N 7"</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больница N 10"</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поликлиника N 3"</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детская больница N 2"</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медико-санитарная часть N 2 Промышленного района"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поликлиника N 1 Промышленного района"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больница N 6"</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79.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поликлиника N 10 Советского района"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клиническая больница им. В.Д. Середавина"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клиническая больница N 2"</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клинический центр профилактики и борьбы со СПИД"</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клинический госпиталь для ветеранов войн имени О.Г. Яковлева"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клиническая станция переливания крови"</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клинический кардиологический диспансер им. В.П. Полякова"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детский санаторий "Юность"</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клинический наркологический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89.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поликлиника N 6 Промышленного района"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поликлиника N 4"</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"Волжская районная клиническая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"Сергиевская центральная районная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"Жигулевская центральная городская больница"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больница N 4"</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клинический онкологический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98.</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"Самарское областное бюро судебно-медицинской экспертизы"</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99.</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"Тольяттинский противотуберкулезный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100.</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"Самарский областной клинический противотуберкулезный диспансер имени Н.В. Постникова"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101.</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"Сызранский противотуберкулезный диспансер"</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102.</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"Противотуберкулезный санаторий "Рачейка"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103.</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Самарской области "Центр утилизации медицинских отходов"</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104.</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"Санаторий "Самара"</w:t>
            </w:r>
          </w:p>
        </w:tc>
        <w:tc>
          <w:tcPr>
            <w:tcW w:w="1757"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center"/>
            </w:pPr>
            <w:r>
              <w:rPr>
                <w:sz w:val="20"/>
              </w:rPr>
              <w:t xml:space="preserve">3,6</w:t>
            </w:r>
          </w:p>
        </w:tc>
      </w:tr>
      <w:tr>
        <w:tc>
          <w:tcPr>
            <w:tcW w:w="706" w:type="dxa"/>
            <w:tcBorders>
              <w:top w:val="nil"/>
              <w:left w:val="nil"/>
              <w:bottom w:val="nil"/>
              <w:right w:val="nil"/>
            </w:tcBorders>
          </w:tcPr>
          <w:p>
            <w:pPr>
              <w:pStyle w:val="0"/>
              <w:jc w:val="center"/>
            </w:pPr>
            <w:r>
              <w:rPr>
                <w:sz w:val="20"/>
              </w:rPr>
              <w:t xml:space="preserve">105.</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"Сызранский психоневрологический диспансер"</w:t>
            </w:r>
          </w:p>
        </w:tc>
        <w:tc>
          <w:tcPr>
            <w:tcW w:w="1757" w:type="dxa"/>
            <w:tcBorders>
              <w:top w:val="nil"/>
              <w:left w:val="nil"/>
              <w:bottom w:val="nil"/>
              <w:right w:val="nil"/>
            </w:tcBorders>
          </w:tcPr>
          <w:p>
            <w:pPr>
              <w:pStyle w:val="0"/>
              <w:jc w:val="center"/>
            </w:pPr>
            <w:r>
              <w:rPr>
                <w:sz w:val="20"/>
              </w:rPr>
              <w:t xml:space="preserve">4,8</w:t>
            </w:r>
          </w:p>
        </w:tc>
        <w:tc>
          <w:tcPr>
            <w:tcW w:w="1871" w:type="dxa"/>
            <w:tcBorders>
              <w:top w:val="nil"/>
              <w:left w:val="nil"/>
              <w:bottom w:val="nil"/>
              <w:right w:val="nil"/>
            </w:tcBorders>
          </w:tcPr>
          <w:p>
            <w:pPr>
              <w:pStyle w:val="0"/>
              <w:jc w:val="center"/>
            </w:pPr>
            <w:r>
              <w:rPr>
                <w:sz w:val="20"/>
              </w:rPr>
              <w:t xml:space="preserve">4,3</w:t>
            </w:r>
          </w:p>
        </w:tc>
      </w:tr>
      <w:tr>
        <w:tc>
          <w:tcPr>
            <w:tcW w:w="706" w:type="dxa"/>
            <w:tcBorders>
              <w:top w:val="nil"/>
              <w:left w:val="nil"/>
              <w:bottom w:val="nil"/>
              <w:right w:val="nil"/>
            </w:tcBorders>
          </w:tcPr>
          <w:p>
            <w:pPr>
              <w:pStyle w:val="0"/>
              <w:jc w:val="center"/>
            </w:pPr>
            <w:r>
              <w:rPr>
                <w:sz w:val="20"/>
              </w:rPr>
              <w:t xml:space="preserve">106.</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Самарской области "Тольяттинский психоневрологический диспансер"</w:t>
            </w:r>
          </w:p>
        </w:tc>
        <w:tc>
          <w:tcPr>
            <w:tcW w:w="1757" w:type="dxa"/>
            <w:tcBorders>
              <w:top w:val="nil"/>
              <w:left w:val="nil"/>
              <w:bottom w:val="nil"/>
              <w:right w:val="nil"/>
            </w:tcBorders>
          </w:tcPr>
          <w:p>
            <w:pPr>
              <w:pStyle w:val="0"/>
              <w:jc w:val="center"/>
            </w:pPr>
            <w:r>
              <w:rPr>
                <w:sz w:val="20"/>
              </w:rPr>
              <w:t xml:space="preserve">4,8</w:t>
            </w:r>
          </w:p>
        </w:tc>
        <w:tc>
          <w:tcPr>
            <w:tcW w:w="1871" w:type="dxa"/>
            <w:tcBorders>
              <w:top w:val="nil"/>
              <w:left w:val="nil"/>
              <w:bottom w:val="nil"/>
              <w:right w:val="nil"/>
            </w:tcBorders>
          </w:tcPr>
          <w:p>
            <w:pPr>
              <w:pStyle w:val="0"/>
              <w:jc w:val="center"/>
            </w:pPr>
            <w:r>
              <w:rPr>
                <w:sz w:val="20"/>
              </w:rPr>
              <w:t xml:space="preserve">4,3</w:t>
            </w:r>
          </w:p>
        </w:tc>
      </w:tr>
      <w:tr>
        <w:tc>
          <w:tcPr>
            <w:tcW w:w="706" w:type="dxa"/>
            <w:tcBorders>
              <w:top w:val="nil"/>
              <w:left w:val="nil"/>
              <w:bottom w:val="nil"/>
              <w:right w:val="nil"/>
            </w:tcBorders>
          </w:tcPr>
          <w:p>
            <w:pPr>
              <w:pStyle w:val="0"/>
              <w:jc w:val="center"/>
            </w:pPr>
            <w:r>
              <w:rPr>
                <w:sz w:val="20"/>
              </w:rPr>
              <w:t xml:space="preserve">107.</w:t>
            </w:r>
          </w:p>
        </w:tc>
        <w:tc>
          <w:tcPr>
            <w:tcW w:w="4706" w:type="dxa"/>
            <w:tcBorders>
              <w:top w:val="nil"/>
              <w:left w:val="nil"/>
              <w:bottom w:val="nil"/>
              <w:right w:val="nil"/>
            </w:tcBorders>
          </w:tcPr>
          <w:p>
            <w:pPr>
              <w:pStyle w:val="0"/>
              <w:jc w:val="both"/>
            </w:pPr>
            <w:r>
              <w:rPr>
                <w:sz w:val="20"/>
              </w:rPr>
              <w:t xml:space="preserve">Государственное бюджетное учреждение здравоохранения "Самарская областная клиническая психиатрическая больница"</w:t>
            </w:r>
          </w:p>
        </w:tc>
        <w:tc>
          <w:tcPr>
            <w:tcW w:w="1757" w:type="dxa"/>
            <w:tcBorders>
              <w:top w:val="nil"/>
              <w:left w:val="nil"/>
              <w:bottom w:val="nil"/>
              <w:right w:val="nil"/>
            </w:tcBorders>
          </w:tcPr>
          <w:p>
            <w:pPr>
              <w:pStyle w:val="0"/>
              <w:jc w:val="center"/>
            </w:pPr>
            <w:r>
              <w:rPr>
                <w:sz w:val="20"/>
              </w:rPr>
              <w:t xml:space="preserve">4,8</w:t>
            </w:r>
          </w:p>
        </w:tc>
        <w:tc>
          <w:tcPr>
            <w:tcW w:w="1871" w:type="dxa"/>
            <w:tcBorders>
              <w:top w:val="nil"/>
              <w:left w:val="nil"/>
              <w:bottom w:val="nil"/>
              <w:right w:val="nil"/>
            </w:tcBorders>
          </w:tcPr>
          <w:p>
            <w:pPr>
              <w:pStyle w:val="0"/>
              <w:jc w:val="center"/>
            </w:pPr>
            <w:r>
              <w:rPr>
                <w:sz w:val="20"/>
              </w:rPr>
              <w:t xml:space="preserve">4,3</w:t>
            </w:r>
          </w:p>
        </w:tc>
      </w:tr>
      <w:tr>
        <w:tc>
          <w:tcPr>
            <w:tcW w:w="706" w:type="dxa"/>
            <w:tcBorders>
              <w:top w:val="nil"/>
              <w:left w:val="nil"/>
              <w:bottom w:val="nil"/>
              <w:right w:val="nil"/>
            </w:tcBorders>
          </w:tcPr>
          <w:p>
            <w:pPr>
              <w:pStyle w:val="0"/>
              <w:jc w:val="center"/>
            </w:pPr>
            <w:r>
              <w:rPr>
                <w:sz w:val="20"/>
              </w:rPr>
              <w:t xml:space="preserve">108.</w:t>
            </w:r>
          </w:p>
        </w:tc>
        <w:tc>
          <w:tcPr>
            <w:tcW w:w="4706" w:type="dxa"/>
            <w:tcBorders>
              <w:top w:val="nil"/>
              <w:left w:val="nil"/>
              <w:bottom w:val="nil"/>
              <w:right w:val="nil"/>
            </w:tcBorders>
          </w:tcPr>
          <w:p>
            <w:pPr>
              <w:pStyle w:val="0"/>
              <w:jc w:val="both"/>
            </w:pPr>
            <w:r>
              <w:rPr>
                <w:sz w:val="20"/>
              </w:rPr>
              <w:t xml:space="preserve">Государственное казенное учреждение здравоохранения "Самарский областной медицинский центр мобилизационных резервов "Резерв"</w:t>
            </w:r>
          </w:p>
        </w:tc>
        <w:tc>
          <w:tcPr>
            <w:tcW w:w="1757" w:type="dxa"/>
            <w:tcBorders>
              <w:top w:val="nil"/>
              <w:left w:val="nil"/>
              <w:bottom w:val="nil"/>
              <w:right w:val="nil"/>
            </w:tcBorders>
          </w:tcPr>
          <w:p>
            <w:pPr>
              <w:pStyle w:val="0"/>
              <w:jc w:val="center"/>
            </w:pPr>
            <w:r>
              <w:rPr>
                <w:sz w:val="20"/>
              </w:rPr>
              <w:t xml:space="preserve">5</w:t>
            </w:r>
          </w:p>
        </w:tc>
        <w:tc>
          <w:tcPr>
            <w:tcW w:w="1871" w:type="dxa"/>
            <w:tcBorders>
              <w:top w:val="nil"/>
              <w:left w:val="nil"/>
              <w:bottom w:val="nil"/>
              <w:right w:val="nil"/>
            </w:tcBorders>
          </w:tcPr>
          <w:p>
            <w:pPr>
              <w:pStyle w:val="0"/>
              <w:jc w:val="center"/>
            </w:pPr>
            <w:r>
              <w:rPr>
                <w:sz w:val="20"/>
              </w:rPr>
              <w:t xml:space="preserve">4,5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Положению</w:t>
      </w:r>
    </w:p>
    <w:p>
      <w:pPr>
        <w:pStyle w:val="0"/>
        <w:jc w:val="right"/>
      </w:pPr>
      <w:r>
        <w:rPr>
          <w:sz w:val="20"/>
        </w:rPr>
        <w:t xml:space="preserve">об оплате труда работников</w:t>
      </w:r>
    </w:p>
    <w:p>
      <w:pPr>
        <w:pStyle w:val="0"/>
        <w:jc w:val="right"/>
      </w:pPr>
      <w:r>
        <w:rPr>
          <w:sz w:val="20"/>
        </w:rPr>
        <w:t xml:space="preserve">государственных учреждений</w:t>
      </w:r>
    </w:p>
    <w:p>
      <w:pPr>
        <w:pStyle w:val="0"/>
        <w:jc w:val="right"/>
      </w:pPr>
      <w:r>
        <w:rPr>
          <w:sz w:val="20"/>
        </w:rPr>
        <w:t xml:space="preserve">Самарской области, подведомственных</w:t>
      </w:r>
    </w:p>
    <w:p>
      <w:pPr>
        <w:pStyle w:val="0"/>
        <w:jc w:val="right"/>
      </w:pPr>
      <w:r>
        <w:rPr>
          <w:sz w:val="20"/>
        </w:rPr>
        <w:t xml:space="preserve">министерству здравоохранения</w:t>
      </w:r>
    </w:p>
    <w:p>
      <w:pPr>
        <w:pStyle w:val="0"/>
        <w:jc w:val="right"/>
      </w:pPr>
      <w:r>
        <w:rPr>
          <w:sz w:val="20"/>
        </w:rPr>
        <w:t xml:space="preserve">Самарской области</w:t>
      </w:r>
    </w:p>
    <w:p>
      <w:pPr>
        <w:pStyle w:val="0"/>
        <w:jc w:val="both"/>
      </w:pPr>
      <w:r>
        <w:rPr>
          <w:sz w:val="20"/>
        </w:rPr>
      </w:r>
    </w:p>
    <w:bookmarkStart w:id="1498" w:name="P1498"/>
    <w:bookmarkEnd w:id="1498"/>
    <w:p>
      <w:pPr>
        <w:pStyle w:val="2"/>
        <w:jc w:val="center"/>
      </w:pPr>
      <w:r>
        <w:rPr>
          <w:sz w:val="20"/>
        </w:rPr>
        <w:t xml:space="preserve">НОРМЫ</w:t>
      </w:r>
    </w:p>
    <w:p>
      <w:pPr>
        <w:pStyle w:val="2"/>
        <w:jc w:val="center"/>
      </w:pPr>
      <w:r>
        <w:rPr>
          <w:sz w:val="20"/>
        </w:rPr>
        <w:t xml:space="preserve">ТРУДОВЫХ ЗАТРАТ ПО ОТДЕЛЬНЫМ ДОЛЖНОСТЯМ (ПРОФЕССИЯМ)</w:t>
      </w:r>
    </w:p>
    <w:p>
      <w:pPr>
        <w:pStyle w:val="2"/>
        <w:jc w:val="center"/>
      </w:pPr>
      <w:r>
        <w:rPr>
          <w:sz w:val="20"/>
        </w:rPr>
        <w:t xml:space="preserve">РАБОТНИКОВ СТОМАТОЛОГИЧЕСКИХ УЧРЕЖДЕНИЙ (ПОДРАЗДЕЛЕНИЙ)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22.05.2019 </w:t>
            </w:r>
            <w:hyperlink w:history="0" r:id="rId139" w:tooltip="Постановление Правительства Самарской области от 22.05.2019 N 333 &quot;О внесении изменений в постановление Правительства Самарской области от 27.08.2015 N 536 &quot;О проведении эксперимента по апробации новой системы оплаты труда работников государственных учреждений здравоохранения Самарской области&quot; и признании утратившими силу отдельных постановлений Правительства Самарской области&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25.10.2023 </w:t>
            </w:r>
            <w:hyperlink w:history="0" r:id="rId140" w:tooltip="Постановление Правительства Самарской области от 25.10.2023 N 853 &quot;О внесении изменений в постановление Правительства Самарской области от 27.08.2015 N 536 &quot;Об утверждении Положения об оплате труда работников государственных учреждений здравоохранения Самарской области&quot; {КонсультантПлюс}">
              <w:r>
                <w:rPr>
                  <w:sz w:val="20"/>
                  <w:color w:val="0000ff"/>
                </w:rPr>
                <w:t xml:space="preserve">N 853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59"/>
        <w:gridCol w:w="3855"/>
      </w:tblGrid>
      <w:tr>
        <w:tblPrEx>
          <w:tblBorders>
            <w:left w:val="single" w:sz="4"/>
            <w:right w:val="single" w:sz="4"/>
            <w:insideV w:val="single" w:sz="4"/>
            <w:insideH w:val="single" w:sz="4"/>
          </w:tblBorders>
        </w:tblPrEx>
        <w:tc>
          <w:tcPr>
            <w:tcW w:w="5159" w:type="dxa"/>
            <w:tcBorders>
              <w:top w:val="single" w:sz="4"/>
              <w:bottom w:val="single" w:sz="4"/>
            </w:tcBorders>
          </w:tcPr>
          <w:p>
            <w:pPr>
              <w:pStyle w:val="0"/>
              <w:jc w:val="center"/>
            </w:pPr>
            <w:r>
              <w:rPr>
                <w:sz w:val="20"/>
              </w:rPr>
              <w:t xml:space="preserve">Наименование должности (профессии)</w:t>
            </w:r>
          </w:p>
        </w:tc>
        <w:tc>
          <w:tcPr>
            <w:tcW w:w="3855" w:type="dxa"/>
            <w:tcBorders>
              <w:top w:val="single" w:sz="4"/>
              <w:bottom w:val="single" w:sz="4"/>
            </w:tcBorders>
          </w:tcPr>
          <w:p>
            <w:pPr>
              <w:pStyle w:val="0"/>
              <w:jc w:val="center"/>
            </w:pPr>
            <w:r>
              <w:rPr>
                <w:sz w:val="20"/>
              </w:rPr>
              <w:t xml:space="preserve">Нормы трудовых затрат в месяц в условных единицах трудоемкости (УЕТ)</w:t>
            </w:r>
          </w:p>
        </w:tc>
      </w:tr>
      <w:tr>
        <w:tc>
          <w:tcPr>
            <w:tcW w:w="5159" w:type="dxa"/>
            <w:tcBorders>
              <w:top w:val="single" w:sz="4"/>
              <w:left w:val="nil"/>
              <w:bottom w:val="nil"/>
              <w:right w:val="nil"/>
            </w:tcBorders>
          </w:tcPr>
          <w:p>
            <w:pPr>
              <w:pStyle w:val="0"/>
            </w:pPr>
            <w:r>
              <w:rPr>
                <w:sz w:val="20"/>
              </w:rPr>
              <w:t xml:space="preserve">Врач-стоматолог, врач-стоматолог детский, врач - стоматолог-терапевт, врач - стоматолог-хирург, врач-ортодонт, зубной врач, врач - стоматолог-ортопед, зубной техник</w:t>
            </w:r>
          </w:p>
        </w:tc>
        <w:tc>
          <w:tcPr>
            <w:tcW w:w="3855" w:type="dxa"/>
            <w:tcBorders>
              <w:top w:val="single" w:sz="4"/>
              <w:left w:val="nil"/>
              <w:bottom w:val="nil"/>
              <w:right w:val="nil"/>
            </w:tcBorders>
          </w:tcPr>
          <w:p>
            <w:pPr>
              <w:pStyle w:val="0"/>
              <w:jc w:val="center"/>
            </w:pPr>
            <w:r>
              <w:rPr>
                <w:sz w:val="20"/>
              </w:rPr>
              <w:t xml:space="preserve">760</w:t>
            </w:r>
          </w:p>
        </w:tc>
      </w:tr>
      <w:tr>
        <w:tc>
          <w:tcPr>
            <w:tcW w:w="5159" w:type="dxa"/>
            <w:tcBorders>
              <w:top w:val="nil"/>
              <w:left w:val="nil"/>
              <w:bottom w:val="nil"/>
              <w:right w:val="nil"/>
            </w:tcBorders>
          </w:tcPr>
          <w:p>
            <w:pPr>
              <w:pStyle w:val="0"/>
            </w:pPr>
            <w:r>
              <w:rPr>
                <w:sz w:val="20"/>
              </w:rPr>
              <w:t xml:space="preserve">Литейщик вакуумного, центробежно-вакуумного и центробежного литья, полировщик</w:t>
            </w:r>
          </w:p>
        </w:tc>
        <w:tc>
          <w:tcPr>
            <w:tcW w:w="3855" w:type="dxa"/>
            <w:tcBorders>
              <w:top w:val="nil"/>
              <w:left w:val="nil"/>
              <w:bottom w:val="nil"/>
              <w:right w:val="nil"/>
            </w:tcBorders>
          </w:tcPr>
          <w:p>
            <w:pPr>
              <w:pStyle w:val="0"/>
              <w:jc w:val="center"/>
            </w:pPr>
            <w:r>
              <w:rPr>
                <w:sz w:val="20"/>
              </w:rPr>
              <w:t xml:space="preserve">984</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27.08.2015 N 536</w:t>
            <w:br/>
            <w:t>(ред. от 25.10.2023)</w:t>
            <w:br/>
            <w:t>"Об утверждении Положения об опла...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56&amp;n=119168&amp;dst=100214" TargetMode = "External"/>
	<Relationship Id="rId8" Type="http://schemas.openxmlformats.org/officeDocument/2006/relationships/hyperlink" Target="https://login.consultant.ru/link/?req=doc&amp;base=RLAW256&amp;n=119164&amp;dst=100125" TargetMode = "External"/>
	<Relationship Id="rId9" Type="http://schemas.openxmlformats.org/officeDocument/2006/relationships/hyperlink" Target="https://login.consultant.ru/link/?req=doc&amp;base=RLAW256&amp;n=119105&amp;dst=100030" TargetMode = "External"/>
	<Relationship Id="rId10" Type="http://schemas.openxmlformats.org/officeDocument/2006/relationships/hyperlink" Target="https://login.consultant.ru/link/?req=doc&amp;base=RLAW256&amp;n=119113&amp;dst=100033" TargetMode = "External"/>
	<Relationship Id="rId11" Type="http://schemas.openxmlformats.org/officeDocument/2006/relationships/hyperlink" Target="https://login.consultant.ru/link/?req=doc&amp;base=RLAW256&amp;n=95154&amp;dst=100005" TargetMode = "External"/>
	<Relationship Id="rId12" Type="http://schemas.openxmlformats.org/officeDocument/2006/relationships/hyperlink" Target="https://login.consultant.ru/link/?req=doc&amp;base=RLAW256&amp;n=119008&amp;dst=100005" TargetMode = "External"/>
	<Relationship Id="rId13" Type="http://schemas.openxmlformats.org/officeDocument/2006/relationships/hyperlink" Target="https://login.consultant.ru/link/?req=doc&amp;base=RLAW256&amp;n=160008&amp;dst=100005" TargetMode = "External"/>
	<Relationship Id="rId14" Type="http://schemas.openxmlformats.org/officeDocument/2006/relationships/hyperlink" Target="https://login.consultant.ru/link/?req=doc&amp;base=RLAW256&amp;n=175182&amp;dst=100005" TargetMode = "External"/>
	<Relationship Id="rId15" Type="http://schemas.openxmlformats.org/officeDocument/2006/relationships/hyperlink" Target="https://login.consultant.ru/link/?req=doc&amp;base=RLAW256&amp;n=158285&amp;dst=100018" TargetMode = "External"/>
	<Relationship Id="rId16" Type="http://schemas.openxmlformats.org/officeDocument/2006/relationships/hyperlink" Target="https://login.consultant.ru/link/?req=doc&amp;base=RLAW256&amp;n=119008&amp;dst=100008" TargetMode = "External"/>
	<Relationship Id="rId17" Type="http://schemas.openxmlformats.org/officeDocument/2006/relationships/hyperlink" Target="https://login.consultant.ru/link/?req=doc&amp;base=RLAW256&amp;n=119008&amp;dst=100010" TargetMode = "External"/>
	<Relationship Id="rId18" Type="http://schemas.openxmlformats.org/officeDocument/2006/relationships/hyperlink" Target="https://login.consultant.ru/link/?req=doc&amp;base=RLAW256&amp;n=175182&amp;dst=100008" TargetMode = "External"/>
	<Relationship Id="rId19" Type="http://schemas.openxmlformats.org/officeDocument/2006/relationships/hyperlink" Target="https://login.consultant.ru/link/?req=doc&amp;base=RLAW256&amp;n=175182&amp;dst=100010" TargetMode = "External"/>
	<Relationship Id="rId20" Type="http://schemas.openxmlformats.org/officeDocument/2006/relationships/hyperlink" Target="https://login.consultant.ru/link/?req=doc&amp;base=RLAW256&amp;n=119008&amp;dst=100010" TargetMode = "External"/>
	<Relationship Id="rId21" Type="http://schemas.openxmlformats.org/officeDocument/2006/relationships/hyperlink" Target="https://login.consultant.ru/link/?req=doc&amp;base=RLAW256&amp;n=119008&amp;dst=100014" TargetMode = "External"/>
	<Relationship Id="rId22" Type="http://schemas.openxmlformats.org/officeDocument/2006/relationships/hyperlink" Target="https://login.consultant.ru/link/?req=doc&amp;base=RLAW256&amp;n=119008&amp;dst=100016" TargetMode = "External"/>
	<Relationship Id="rId23" Type="http://schemas.openxmlformats.org/officeDocument/2006/relationships/hyperlink" Target="https://login.consultant.ru/link/?req=doc&amp;base=RLAW256&amp;n=119168&amp;dst=100218" TargetMode = "External"/>
	<Relationship Id="rId24" Type="http://schemas.openxmlformats.org/officeDocument/2006/relationships/hyperlink" Target="https://login.consultant.ru/link/?req=doc&amp;base=RLAW256&amp;n=119164&amp;dst=100126" TargetMode = "External"/>
	<Relationship Id="rId25" Type="http://schemas.openxmlformats.org/officeDocument/2006/relationships/hyperlink" Target="https://login.consultant.ru/link/?req=doc&amp;base=RLAW256&amp;n=119105&amp;dst=100031" TargetMode = "External"/>
	<Relationship Id="rId26" Type="http://schemas.openxmlformats.org/officeDocument/2006/relationships/hyperlink" Target="https://login.consultant.ru/link/?req=doc&amp;base=RLAW256&amp;n=119113&amp;dst=100033" TargetMode = "External"/>
	<Relationship Id="rId27" Type="http://schemas.openxmlformats.org/officeDocument/2006/relationships/hyperlink" Target="https://login.consultant.ru/link/?req=doc&amp;base=RLAW256&amp;n=95154&amp;dst=100007" TargetMode = "External"/>
	<Relationship Id="rId28" Type="http://schemas.openxmlformats.org/officeDocument/2006/relationships/hyperlink" Target="https://login.consultant.ru/link/?req=doc&amp;base=RLAW256&amp;n=119008&amp;dst=100017" TargetMode = "External"/>
	<Relationship Id="rId29" Type="http://schemas.openxmlformats.org/officeDocument/2006/relationships/hyperlink" Target="https://login.consultant.ru/link/?req=doc&amp;base=RLAW256&amp;n=160008&amp;dst=100006" TargetMode = "External"/>
	<Relationship Id="rId30" Type="http://schemas.openxmlformats.org/officeDocument/2006/relationships/hyperlink" Target="https://login.consultant.ru/link/?req=doc&amp;base=RLAW256&amp;n=175182&amp;dst=100011" TargetMode = "External"/>
	<Relationship Id="rId31" Type="http://schemas.openxmlformats.org/officeDocument/2006/relationships/hyperlink" Target="https://login.consultant.ru/link/?req=doc&amp;base=RLAW256&amp;n=175182&amp;dst=100014" TargetMode = "External"/>
	<Relationship Id="rId32" Type="http://schemas.openxmlformats.org/officeDocument/2006/relationships/hyperlink" Target="https://login.consultant.ru/link/?req=doc&amp;base=RZB&amp;n=464875" TargetMode = "External"/>
	<Relationship Id="rId33" Type="http://schemas.openxmlformats.org/officeDocument/2006/relationships/hyperlink" Target="https://login.consultant.ru/link/?req=doc&amp;base=RLAW256&amp;n=158285" TargetMode = "External"/>
	<Relationship Id="rId34" Type="http://schemas.openxmlformats.org/officeDocument/2006/relationships/hyperlink" Target="https://login.consultant.ru/link/?req=doc&amp;base=RLAW256&amp;n=95154&amp;dst=100008" TargetMode = "External"/>
	<Relationship Id="rId35" Type="http://schemas.openxmlformats.org/officeDocument/2006/relationships/hyperlink" Target="https://login.consultant.ru/link/?req=doc&amp;base=RZB&amp;n=214641&amp;dst=100009" TargetMode = "External"/>
	<Relationship Id="rId36" Type="http://schemas.openxmlformats.org/officeDocument/2006/relationships/hyperlink" Target="https://login.consultant.ru/link/?req=doc&amp;base=RLAW256&amp;n=175182&amp;dst=100016" TargetMode = "External"/>
	<Relationship Id="rId37" Type="http://schemas.openxmlformats.org/officeDocument/2006/relationships/hyperlink" Target="https://login.consultant.ru/link/?req=doc&amp;base=RZB&amp;n=214638&amp;dst=100009" TargetMode = "External"/>
	<Relationship Id="rId38" Type="http://schemas.openxmlformats.org/officeDocument/2006/relationships/hyperlink" Target="https://login.consultant.ru/link/?req=doc&amp;base=RLAW256&amp;n=119008&amp;dst=100021" TargetMode = "External"/>
	<Relationship Id="rId39" Type="http://schemas.openxmlformats.org/officeDocument/2006/relationships/hyperlink" Target="https://login.consultant.ru/link/?req=doc&amp;base=RZB&amp;n=84164&amp;dst=100009" TargetMode = "External"/>
	<Relationship Id="rId40" Type="http://schemas.openxmlformats.org/officeDocument/2006/relationships/hyperlink" Target="https://login.consultant.ru/link/?req=doc&amp;base=RZB&amp;n=84164&amp;dst=100009" TargetMode = "External"/>
	<Relationship Id="rId41" Type="http://schemas.openxmlformats.org/officeDocument/2006/relationships/hyperlink" Target="https://login.consultant.ru/link/?req=doc&amp;base=RLAW256&amp;n=119164&amp;dst=100127" TargetMode = "External"/>
	<Relationship Id="rId42" Type="http://schemas.openxmlformats.org/officeDocument/2006/relationships/hyperlink" Target="https://login.consultant.ru/link/?req=doc&amp;base=RLAW256&amp;n=95154&amp;dst=100010" TargetMode = "External"/>
	<Relationship Id="rId43" Type="http://schemas.openxmlformats.org/officeDocument/2006/relationships/hyperlink" Target="https://login.consultant.ru/link/?req=doc&amp;base=RZB&amp;n=79570&amp;dst=100009" TargetMode = "External"/>
	<Relationship Id="rId44" Type="http://schemas.openxmlformats.org/officeDocument/2006/relationships/hyperlink" Target="https://login.consultant.ru/link/?req=doc&amp;base=RLAW256&amp;n=119168&amp;dst=100220" TargetMode = "External"/>
	<Relationship Id="rId45" Type="http://schemas.openxmlformats.org/officeDocument/2006/relationships/hyperlink" Target="https://login.consultant.ru/link/?req=doc&amp;base=RLAW256&amp;n=95154&amp;dst=100012" TargetMode = "External"/>
	<Relationship Id="rId46" Type="http://schemas.openxmlformats.org/officeDocument/2006/relationships/hyperlink" Target="https://login.consultant.ru/link/?req=doc&amp;base=RLAW256&amp;n=119168&amp;dst=100221" TargetMode = "External"/>
	<Relationship Id="rId47" Type="http://schemas.openxmlformats.org/officeDocument/2006/relationships/hyperlink" Target="https://login.consultant.ru/link/?req=doc&amp;base=RLAW256&amp;n=95154&amp;dst=100013" TargetMode = "External"/>
	<Relationship Id="rId48" Type="http://schemas.openxmlformats.org/officeDocument/2006/relationships/hyperlink" Target="https://login.consultant.ru/link/?req=doc&amp;base=RLAW256&amp;n=119168&amp;dst=100222" TargetMode = "External"/>
	<Relationship Id="rId49" Type="http://schemas.openxmlformats.org/officeDocument/2006/relationships/hyperlink" Target="https://login.consultant.ru/link/?req=doc&amp;base=RLAW256&amp;n=95154&amp;dst=100015" TargetMode = "External"/>
	<Relationship Id="rId50" Type="http://schemas.openxmlformats.org/officeDocument/2006/relationships/hyperlink" Target="https://login.consultant.ru/link/?req=doc&amp;base=RLAW256&amp;n=160008&amp;dst=100007" TargetMode = "External"/>
	<Relationship Id="rId51" Type="http://schemas.openxmlformats.org/officeDocument/2006/relationships/hyperlink" Target="https://login.consultant.ru/link/?req=doc&amp;base=RZB&amp;n=464875" TargetMode = "External"/>
	<Relationship Id="rId52" Type="http://schemas.openxmlformats.org/officeDocument/2006/relationships/hyperlink" Target="https://login.consultant.ru/link/?req=doc&amp;base=RZB&amp;n=452984" TargetMode = "External"/>
	<Relationship Id="rId53" Type="http://schemas.openxmlformats.org/officeDocument/2006/relationships/hyperlink" Target="https://login.consultant.ru/link/?req=doc&amp;base=RZB&amp;n=388538" TargetMode = "External"/>
	<Relationship Id="rId54" Type="http://schemas.openxmlformats.org/officeDocument/2006/relationships/hyperlink" Target="https://login.consultant.ru/link/?req=doc&amp;base=RLAW256&amp;n=119008&amp;dst=100022" TargetMode = "External"/>
	<Relationship Id="rId55" Type="http://schemas.openxmlformats.org/officeDocument/2006/relationships/hyperlink" Target="https://login.consultant.ru/link/?req=doc&amp;base=RLAW256&amp;n=119168&amp;dst=100224" TargetMode = "External"/>
	<Relationship Id="rId56" Type="http://schemas.openxmlformats.org/officeDocument/2006/relationships/hyperlink" Target="https://login.consultant.ru/link/?req=doc&amp;base=RLAW256&amp;n=119168&amp;dst=100224" TargetMode = "External"/>
	<Relationship Id="rId57" Type="http://schemas.openxmlformats.org/officeDocument/2006/relationships/hyperlink" Target="https://login.consultant.ru/link/?req=doc&amp;base=RLAW256&amp;n=95154&amp;dst=100016" TargetMode = "External"/>
	<Relationship Id="rId58" Type="http://schemas.openxmlformats.org/officeDocument/2006/relationships/hyperlink" Target="https://login.consultant.ru/link/?req=doc&amp;base=RZB&amp;n=464875&amp;dst=712" TargetMode = "External"/>
	<Relationship Id="rId59" Type="http://schemas.openxmlformats.org/officeDocument/2006/relationships/hyperlink" Target="https://login.consultant.ru/link/?req=doc&amp;base=RZB&amp;n=450508" TargetMode = "External"/>
	<Relationship Id="rId60" Type="http://schemas.openxmlformats.org/officeDocument/2006/relationships/hyperlink" Target="https://login.consultant.ru/link/?req=doc&amp;base=RLAW256&amp;n=175182&amp;dst=100018" TargetMode = "External"/>
	<Relationship Id="rId61" Type="http://schemas.openxmlformats.org/officeDocument/2006/relationships/hyperlink" Target="https://login.consultant.ru/link/?req=doc&amp;base=RZB&amp;n=464875&amp;dst=715" TargetMode = "External"/>
	<Relationship Id="rId62" Type="http://schemas.openxmlformats.org/officeDocument/2006/relationships/hyperlink" Target="https://login.consultant.ru/link/?req=doc&amp;base=RLAW256&amp;n=175182&amp;dst=100019" TargetMode = "External"/>
	<Relationship Id="rId63" Type="http://schemas.openxmlformats.org/officeDocument/2006/relationships/hyperlink" Target="https://login.consultant.ru/link/?req=doc&amp;base=RLAW256&amp;n=119008&amp;dst=100024" TargetMode = "External"/>
	<Relationship Id="rId64" Type="http://schemas.openxmlformats.org/officeDocument/2006/relationships/hyperlink" Target="https://login.consultant.ru/link/?req=doc&amp;base=RLAW256&amp;n=175182&amp;dst=100020" TargetMode = "External"/>
	<Relationship Id="rId65" Type="http://schemas.openxmlformats.org/officeDocument/2006/relationships/hyperlink" Target="https://login.consultant.ru/link/?req=doc&amp;base=RZB&amp;n=464875&amp;dst=397" TargetMode = "External"/>
	<Relationship Id="rId66" Type="http://schemas.openxmlformats.org/officeDocument/2006/relationships/hyperlink" Target="https://login.consultant.ru/link/?req=doc&amp;base=RZB&amp;n=464875&amp;dst=709" TargetMode = "External"/>
	<Relationship Id="rId67" Type="http://schemas.openxmlformats.org/officeDocument/2006/relationships/hyperlink" Target="https://login.consultant.ru/link/?req=doc&amp;base=RLAW256&amp;n=160008&amp;dst=100009" TargetMode = "External"/>
	<Relationship Id="rId68" Type="http://schemas.openxmlformats.org/officeDocument/2006/relationships/hyperlink" Target="https://login.consultant.ru/link/?req=doc&amp;base=RLAW256&amp;n=95154&amp;dst=100017" TargetMode = "External"/>
	<Relationship Id="rId69" Type="http://schemas.openxmlformats.org/officeDocument/2006/relationships/hyperlink" Target="https://login.consultant.ru/link/?req=doc&amp;base=RLAW256&amp;n=119008&amp;dst=100027" TargetMode = "External"/>
	<Relationship Id="rId70" Type="http://schemas.openxmlformats.org/officeDocument/2006/relationships/hyperlink" Target="https://login.consultant.ru/link/?req=doc&amp;base=RLAW256&amp;n=119008&amp;dst=100030" TargetMode = "External"/>
	<Relationship Id="rId71" Type="http://schemas.openxmlformats.org/officeDocument/2006/relationships/hyperlink" Target="https://login.consultant.ru/link/?req=doc&amp;base=RLAW256&amp;n=119008&amp;dst=100031" TargetMode = "External"/>
	<Relationship Id="rId72" Type="http://schemas.openxmlformats.org/officeDocument/2006/relationships/hyperlink" Target="https://login.consultant.ru/link/?req=doc&amp;base=RLAW256&amp;n=119008&amp;dst=100033" TargetMode = "External"/>
	<Relationship Id="rId73" Type="http://schemas.openxmlformats.org/officeDocument/2006/relationships/hyperlink" Target="https://login.consultant.ru/link/?req=doc&amp;base=RLAW256&amp;n=119008&amp;dst=100035" TargetMode = "External"/>
	<Relationship Id="rId74" Type="http://schemas.openxmlformats.org/officeDocument/2006/relationships/hyperlink" Target="https://login.consultant.ru/link/?req=doc&amp;base=RLAW256&amp;n=119008&amp;dst=100036" TargetMode = "External"/>
	<Relationship Id="rId75" Type="http://schemas.openxmlformats.org/officeDocument/2006/relationships/hyperlink" Target="https://login.consultant.ru/link/?req=doc&amp;base=RLAW256&amp;n=119168&amp;dst=100226" TargetMode = "External"/>
	<Relationship Id="rId76" Type="http://schemas.openxmlformats.org/officeDocument/2006/relationships/hyperlink" Target="https://login.consultant.ru/link/?req=doc&amp;base=RLAW256&amp;n=95154&amp;dst=100057" TargetMode = "External"/>
	<Relationship Id="rId77" Type="http://schemas.openxmlformats.org/officeDocument/2006/relationships/hyperlink" Target="https://login.consultant.ru/link/?req=doc&amp;base=RLAW256&amp;n=95154&amp;dst=100059" TargetMode = "External"/>
	<Relationship Id="rId78" Type="http://schemas.openxmlformats.org/officeDocument/2006/relationships/hyperlink" Target="https://login.consultant.ru/link/?req=doc&amp;base=RLAW256&amp;n=95154&amp;dst=100062" TargetMode = "External"/>
	<Relationship Id="rId79" Type="http://schemas.openxmlformats.org/officeDocument/2006/relationships/hyperlink" Target="https://login.consultant.ru/link/?req=doc&amp;base=RLAW256&amp;n=95154&amp;dst=100063" TargetMode = "External"/>
	<Relationship Id="rId80" Type="http://schemas.openxmlformats.org/officeDocument/2006/relationships/hyperlink" Target="https://login.consultant.ru/link/?req=doc&amp;base=RLAW256&amp;n=95154&amp;dst=100063" TargetMode = "External"/>
	<Relationship Id="rId81" Type="http://schemas.openxmlformats.org/officeDocument/2006/relationships/hyperlink" Target="https://login.consultant.ru/link/?req=doc&amp;base=RZB&amp;n=464875&amp;dst=397" TargetMode = "External"/>
	<Relationship Id="rId82" Type="http://schemas.openxmlformats.org/officeDocument/2006/relationships/hyperlink" Target="https://login.consultant.ru/link/?req=doc&amp;base=RZB&amp;n=464875&amp;dst=709" TargetMode = "External"/>
	<Relationship Id="rId83" Type="http://schemas.openxmlformats.org/officeDocument/2006/relationships/hyperlink" Target="https://login.consultant.ru/link/?req=doc&amp;base=RLAW256&amp;n=95154&amp;dst=100064" TargetMode = "External"/>
	<Relationship Id="rId84" Type="http://schemas.openxmlformats.org/officeDocument/2006/relationships/hyperlink" Target="https://login.consultant.ru/link/?req=doc&amp;base=RLAW256&amp;n=119105&amp;dst=100032" TargetMode = "External"/>
	<Relationship Id="rId85" Type="http://schemas.openxmlformats.org/officeDocument/2006/relationships/hyperlink" Target="https://login.consultant.ru/link/?req=doc&amp;base=RLAW256&amp;n=119105&amp;dst=100033" TargetMode = "External"/>
	<Relationship Id="rId86" Type="http://schemas.openxmlformats.org/officeDocument/2006/relationships/hyperlink" Target="https://login.consultant.ru/link/?req=doc&amp;base=RLAW256&amp;n=119105&amp;dst=100032" TargetMode = "External"/>
	<Relationship Id="rId87" Type="http://schemas.openxmlformats.org/officeDocument/2006/relationships/hyperlink" Target="https://login.consultant.ru/link/?req=doc&amp;base=RLAW256&amp;n=119105&amp;dst=100033" TargetMode = "External"/>
	<Relationship Id="rId88" Type="http://schemas.openxmlformats.org/officeDocument/2006/relationships/hyperlink" Target="https://login.consultant.ru/link/?req=doc&amp;base=RLAW256&amp;n=119105&amp;dst=100034" TargetMode = "External"/>
	<Relationship Id="rId89" Type="http://schemas.openxmlformats.org/officeDocument/2006/relationships/hyperlink" Target="https://login.consultant.ru/link/?req=doc&amp;base=RLAW256&amp;n=119105&amp;dst=100033" TargetMode = "External"/>
	<Relationship Id="rId90" Type="http://schemas.openxmlformats.org/officeDocument/2006/relationships/hyperlink" Target="https://login.consultant.ru/link/?req=doc&amp;base=RLAW256&amp;n=95154&amp;dst=100066" TargetMode = "External"/>
	<Relationship Id="rId91" Type="http://schemas.openxmlformats.org/officeDocument/2006/relationships/hyperlink" Target="https://login.consultant.ru/link/?req=doc&amp;base=RLAW256&amp;n=119113&amp;dst=100033" TargetMode = "External"/>
	<Relationship Id="rId92" Type="http://schemas.openxmlformats.org/officeDocument/2006/relationships/hyperlink" Target="https://login.consultant.ru/link/?req=doc&amp;base=RLAW256&amp;n=119105&amp;dst=100033" TargetMode = "External"/>
	<Relationship Id="rId93" Type="http://schemas.openxmlformats.org/officeDocument/2006/relationships/hyperlink" Target="https://login.consultant.ru/link/?req=doc&amp;base=RLAW256&amp;n=95154&amp;dst=100068" TargetMode = "External"/>
	<Relationship Id="rId94" Type="http://schemas.openxmlformats.org/officeDocument/2006/relationships/hyperlink" Target="https://login.consultant.ru/link/?req=doc&amp;base=RLAW256&amp;n=95154&amp;dst=100070" TargetMode = "External"/>
	<Relationship Id="rId95" Type="http://schemas.openxmlformats.org/officeDocument/2006/relationships/hyperlink" Target="https://login.consultant.ru/link/?req=doc&amp;base=RLAW256&amp;n=95154&amp;dst=100071" TargetMode = "External"/>
	<Relationship Id="rId96" Type="http://schemas.openxmlformats.org/officeDocument/2006/relationships/hyperlink" Target="https://login.consultant.ru/link/?req=doc&amp;base=RLAW256&amp;n=95154&amp;dst=100073" TargetMode = "External"/>
	<Relationship Id="rId97" Type="http://schemas.openxmlformats.org/officeDocument/2006/relationships/hyperlink" Target="https://login.consultant.ru/link/?req=doc&amp;base=RLAW256&amp;n=95154&amp;dst=100075" TargetMode = "External"/>
	<Relationship Id="rId98" Type="http://schemas.openxmlformats.org/officeDocument/2006/relationships/hyperlink" Target="https://login.consultant.ru/link/?req=doc&amp;base=RLAW256&amp;n=119008&amp;dst=100038" TargetMode = "External"/>
	<Relationship Id="rId99" Type="http://schemas.openxmlformats.org/officeDocument/2006/relationships/hyperlink" Target="https://login.consultant.ru/link/?req=doc&amp;base=RLAW256&amp;n=119008&amp;dst=100038" TargetMode = "External"/>
	<Relationship Id="rId100" Type="http://schemas.openxmlformats.org/officeDocument/2006/relationships/hyperlink" Target="https://login.consultant.ru/link/?req=doc&amp;base=RLAW256&amp;n=119008&amp;dst=100039" TargetMode = "External"/>
	<Relationship Id="rId101" Type="http://schemas.openxmlformats.org/officeDocument/2006/relationships/hyperlink" Target="https://login.consultant.ru/link/?req=doc&amp;base=RZB&amp;n=464875&amp;dst=712" TargetMode = "External"/>
	<Relationship Id="rId102" Type="http://schemas.openxmlformats.org/officeDocument/2006/relationships/hyperlink" Target="https://login.consultant.ru/link/?req=doc&amp;base=RZB&amp;n=464875&amp;dst=715" TargetMode = "External"/>
	<Relationship Id="rId103" Type="http://schemas.openxmlformats.org/officeDocument/2006/relationships/hyperlink" Target="https://login.consultant.ru/link/?req=doc&amp;base=RZB&amp;n=464875&amp;dst=100775" TargetMode = "External"/>
	<Relationship Id="rId104" Type="http://schemas.openxmlformats.org/officeDocument/2006/relationships/hyperlink" Target="https://login.consultant.ru/link/?req=doc&amp;base=RLAW256&amp;n=119008&amp;dst=100040" TargetMode = "External"/>
	<Relationship Id="rId105" Type="http://schemas.openxmlformats.org/officeDocument/2006/relationships/hyperlink" Target="https://login.consultant.ru/link/?req=doc&amp;base=RLAW256&amp;n=119008&amp;dst=100042" TargetMode = "External"/>
	<Relationship Id="rId106" Type="http://schemas.openxmlformats.org/officeDocument/2006/relationships/hyperlink" Target="https://login.consultant.ru/link/?req=doc&amp;base=RLAW256&amp;n=119008&amp;dst=100043" TargetMode = "External"/>
	<Relationship Id="rId107" Type="http://schemas.openxmlformats.org/officeDocument/2006/relationships/hyperlink" Target="https://login.consultant.ru/link/?req=doc&amp;base=RLAW256&amp;n=95154&amp;dst=100076" TargetMode = "External"/>
	<Relationship Id="rId108" Type="http://schemas.openxmlformats.org/officeDocument/2006/relationships/hyperlink" Target="https://login.consultant.ru/link/?req=doc&amp;base=RLAW256&amp;n=119008&amp;dst=100044" TargetMode = "External"/>
	<Relationship Id="rId109" Type="http://schemas.openxmlformats.org/officeDocument/2006/relationships/hyperlink" Target="https://login.consultant.ru/link/?req=doc&amp;base=RLAW256&amp;n=175182&amp;dst=100012" TargetMode = "External"/>
	<Relationship Id="rId110" Type="http://schemas.openxmlformats.org/officeDocument/2006/relationships/hyperlink" Target="https://login.consultant.ru/link/?req=doc&amp;base=RLAW256&amp;n=175182&amp;dst=100021" TargetMode = "External"/>
	<Relationship Id="rId111" Type="http://schemas.openxmlformats.org/officeDocument/2006/relationships/hyperlink" Target="https://login.consultant.ru/link/?req=doc&amp;base=RLAW256&amp;n=175182&amp;dst=100022" TargetMode = "External"/>
	<Relationship Id="rId112" Type="http://schemas.openxmlformats.org/officeDocument/2006/relationships/hyperlink" Target="https://login.consultant.ru/link/?req=doc&amp;base=RLAW256&amp;n=175182&amp;dst=100072" TargetMode = "External"/>
	<Relationship Id="rId113" Type="http://schemas.openxmlformats.org/officeDocument/2006/relationships/hyperlink" Target="https://login.consultant.ru/link/?req=doc&amp;base=RLAW256&amp;n=175182&amp;dst=100122" TargetMode = "External"/>
	<Relationship Id="rId114" Type="http://schemas.openxmlformats.org/officeDocument/2006/relationships/hyperlink" Target="https://login.consultant.ru/link/?req=doc&amp;base=RLAW256&amp;n=175182&amp;dst=100162" TargetMode = "External"/>
	<Relationship Id="rId115" Type="http://schemas.openxmlformats.org/officeDocument/2006/relationships/hyperlink" Target="https://login.consultant.ru/link/?req=doc&amp;base=RLAW256&amp;n=175182&amp;dst=100216" TargetMode = "External"/>
	<Relationship Id="rId116" Type="http://schemas.openxmlformats.org/officeDocument/2006/relationships/hyperlink" Target="https://login.consultant.ru/link/?req=doc&amp;base=RLAW256&amp;n=95154&amp;dst=100086" TargetMode = "External"/>
	<Relationship Id="rId117" Type="http://schemas.openxmlformats.org/officeDocument/2006/relationships/hyperlink" Target="https://login.consultant.ru/link/?req=doc&amp;base=RLAW256&amp;n=119008&amp;dst=100045" TargetMode = "External"/>
	<Relationship Id="rId118" Type="http://schemas.openxmlformats.org/officeDocument/2006/relationships/hyperlink" Target="https://login.consultant.ru/link/?req=doc&amp;base=RLAW256&amp;n=175182&amp;dst=100012" TargetMode = "External"/>
	<Relationship Id="rId119" Type="http://schemas.openxmlformats.org/officeDocument/2006/relationships/hyperlink" Target="https://login.consultant.ru/link/?req=doc&amp;base=RLAW256&amp;n=119008&amp;dst=100046" TargetMode = "External"/>
	<Relationship Id="rId120" Type="http://schemas.openxmlformats.org/officeDocument/2006/relationships/hyperlink" Target="https://login.consultant.ru/link/?req=doc&amp;base=RLAW256&amp;n=175182&amp;dst=100023" TargetMode = "External"/>
	<Relationship Id="rId121" Type="http://schemas.openxmlformats.org/officeDocument/2006/relationships/hyperlink" Target="https://login.consultant.ru/link/?req=doc&amp;base=RLAW256&amp;n=175182&amp;dst=100024" TargetMode = "External"/>
	<Relationship Id="rId122" Type="http://schemas.openxmlformats.org/officeDocument/2006/relationships/hyperlink" Target="https://login.consultant.ru/link/?req=doc&amp;base=RLAW256&amp;n=175182&amp;dst=100025" TargetMode = "External"/>
	<Relationship Id="rId123" Type="http://schemas.openxmlformats.org/officeDocument/2006/relationships/hyperlink" Target="https://login.consultant.ru/link/?req=doc&amp;base=RLAW256&amp;n=175182&amp;dst=100027" TargetMode = "External"/>
	<Relationship Id="rId124" Type="http://schemas.openxmlformats.org/officeDocument/2006/relationships/hyperlink" Target="https://login.consultant.ru/link/?req=doc&amp;base=RLAW256&amp;n=95154&amp;dst=100087" TargetMode = "External"/>
	<Relationship Id="rId125" Type="http://schemas.openxmlformats.org/officeDocument/2006/relationships/hyperlink" Target="https://login.consultant.ru/link/?req=doc&amp;base=RLAW256&amp;n=119008&amp;dst=100049" TargetMode = "External"/>
	<Relationship Id="rId126" Type="http://schemas.openxmlformats.org/officeDocument/2006/relationships/hyperlink" Target="https://login.consultant.ru/link/?req=doc&amp;base=RLAW256&amp;n=175182&amp;dst=100012" TargetMode = "External"/>
	<Relationship Id="rId127" Type="http://schemas.openxmlformats.org/officeDocument/2006/relationships/hyperlink" Target="https://login.consultant.ru/link/?req=doc&amp;base=RLAW256&amp;n=119008&amp;dst=100050" TargetMode = "External"/>
	<Relationship Id="rId128" Type="http://schemas.openxmlformats.org/officeDocument/2006/relationships/hyperlink" Target="https://login.consultant.ru/link/?req=doc&amp;base=RLAW256&amp;n=119008&amp;dst=100052" TargetMode = "External"/>
	<Relationship Id="rId129" Type="http://schemas.openxmlformats.org/officeDocument/2006/relationships/hyperlink" Target="https://login.consultant.ru/link/?req=doc&amp;base=RLAW256&amp;n=119008&amp;dst=100052" TargetMode = "External"/>
	<Relationship Id="rId130" Type="http://schemas.openxmlformats.org/officeDocument/2006/relationships/hyperlink" Target="https://login.consultant.ru/link/?req=doc&amp;base=RLAW256&amp;n=119008&amp;dst=100053" TargetMode = "External"/>
	<Relationship Id="rId131" Type="http://schemas.openxmlformats.org/officeDocument/2006/relationships/hyperlink" Target="https://login.consultant.ru/link/?req=doc&amp;base=RLAW256&amp;n=119008&amp;dst=100056" TargetMode = "External"/>
	<Relationship Id="rId132" Type="http://schemas.openxmlformats.org/officeDocument/2006/relationships/hyperlink" Target="https://login.consultant.ru/link/?req=doc&amp;base=RLAW256&amp;n=119008&amp;dst=100057" TargetMode = "External"/>
	<Relationship Id="rId133" Type="http://schemas.openxmlformats.org/officeDocument/2006/relationships/hyperlink" Target="https://login.consultant.ru/link/?req=doc&amp;base=RLAW256&amp;n=119008&amp;dst=100058" TargetMode = "External"/>
	<Relationship Id="rId134" Type="http://schemas.openxmlformats.org/officeDocument/2006/relationships/hyperlink" Target="https://login.consultant.ru/link/?req=doc&amp;base=RLAW256&amp;n=119008&amp;dst=100059" TargetMode = "External"/>
	<Relationship Id="rId135" Type="http://schemas.openxmlformats.org/officeDocument/2006/relationships/hyperlink" Target="https://login.consultant.ru/link/?req=doc&amp;base=RLAW256&amp;n=119008&amp;dst=100073" TargetMode = "External"/>
	<Relationship Id="rId136" Type="http://schemas.openxmlformats.org/officeDocument/2006/relationships/hyperlink" Target="https://login.consultant.ru/link/?req=doc&amp;base=RLAW256&amp;n=119008&amp;dst=100075" TargetMode = "External"/>
	<Relationship Id="rId137" Type="http://schemas.openxmlformats.org/officeDocument/2006/relationships/hyperlink" Target="https://login.consultant.ru/link/?req=doc&amp;base=RLAW256&amp;n=175182&amp;dst=100029" TargetMode = "External"/>
	<Relationship Id="rId138" Type="http://schemas.openxmlformats.org/officeDocument/2006/relationships/hyperlink" Target="https://login.consultant.ru/link/?req=doc&amp;base=RLAW256&amp;n=175182&amp;dst=100031" TargetMode = "External"/>
	<Relationship Id="rId139" Type="http://schemas.openxmlformats.org/officeDocument/2006/relationships/hyperlink" Target="https://login.consultant.ru/link/?req=doc&amp;base=RLAW256&amp;n=119008&amp;dst=100111" TargetMode = "External"/>
	<Relationship Id="rId140" Type="http://schemas.openxmlformats.org/officeDocument/2006/relationships/hyperlink" Target="https://login.consultant.ru/link/?req=doc&amp;base=RLAW256&amp;n=175182&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27.08.2015 N 536
(ред. от 25.10.2023)
"Об утверждении Положения об оплате труда работников государственных учреждений Самарской области, подведомственных министерству здравоохранения Самарской области"
(с изм. и доп., вступившими в силу с 01.01.2024)</dc:title>
  <dcterms:created xsi:type="dcterms:W3CDTF">2024-01-15T05:33:09Z</dcterms:created>
</cp:coreProperties>
</file>